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w-pipeline"/>
      <w:bookmarkEnd w:id="21"/>
      <w:r>
        <w:t xml:space="preserve">PW-pipeline</w:t>
      </w:r>
    </w:p>
    <w:p>
      <w:pPr>
        <w:pStyle w:val="FirstParagraph"/>
      </w:pPr>
      <w:r>
        <w:t xml:space="preserve">PathWay pipeline using GWAS summary statistics, named analogously after FM-pipepline I have implemented.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Pathway analysis becomes an important element in GWAS. Broadly, it involves SNP annotation, such as Variant Effect Predictor</w:t>
      </w:r>
      <w:r>
        <w:t xml:space="preserve"> </w:t>
      </w:r>
      <w:r>
        <w:t xml:space="preserve">(VEP), gene analysis such as VEGAS2, and gene set analysis. Visualisation of a particular region has been facilitated with</w:t>
      </w:r>
      <w:r>
        <w:t xml:space="preserve"> </w:t>
      </w:r>
      <w:r>
        <w:t xml:space="preserve">LocusZoom, while network(s) from pathway analysis via</w:t>
      </w:r>
      <w:r>
        <w:t xml:space="preserve"> </w:t>
      </w:r>
      <w:hyperlink r:id="rId23">
        <w:r>
          <w:rPr>
            <w:rStyle w:val="Hyperlink"/>
          </w:rPr>
          <w:t xml:space="preserve">gephi</w:t>
        </w:r>
      </w:hyperlink>
      <w:r>
        <w:t xml:space="preserve"> </w:t>
      </w:r>
      <w:r>
        <w:t xml:space="preserve">or</w:t>
      </w:r>
      <w:r>
        <w:t xml:space="preserve"> </w:t>
      </w:r>
      <w:hyperlink r:id="rId24">
        <w:r>
          <w:rPr>
            <w:rStyle w:val="Hyperlink"/>
          </w:rPr>
          <w:t xml:space="preserve">Cytoscape</w:t>
        </w:r>
      </w:hyperlink>
      <w:r>
        <w:t xml:space="preserve">,</w:t>
      </w:r>
      <w:r>
        <w:t xml:space="preserve"> </w:t>
      </w:r>
      <w:r>
        <w:t xml:space="preserve">which uses genes and a collection of edges, directed or undirected, to build a network. Aspects to consider include part or all databases,</w:t>
      </w:r>
      <w:r>
        <w:t xml:space="preserve"> </w:t>
      </w:r>
      <w:r>
        <w:t xml:space="preserve">individual level genotype data vs GWAS summary statistics, computing speed, with and without tissue enrichment.</w:t>
      </w:r>
    </w:p>
    <w:p>
      <w:pPr>
        <w:pStyle w:val="FigureWithCaption"/>
      </w:pPr>
      <w:r>
        <w:drawing>
          <wp:inline>
            <wp:extent cx="5334000" cy="3158931"/>
            <wp:effectExtent b="0" l="0" r="0" t="0"/>
            <wp:docPr descr="diagram from CytoScape/GeneMANIA" title="" id="1" name="Picture"/>
            <a:graphic>
              <a:graphicData uri="http://schemas.openxmlformats.org/drawingml/2006/picture">
                <pic:pic>
                  <pic:nvPicPr>
                    <pic:cNvPr descr="files/obes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 from CytoScape/GeneMANIA</w:t>
      </w:r>
    </w:p>
    <w:p>
      <w:pPr>
        <w:pStyle w:val="Heading2"/>
      </w:pPr>
      <w:bookmarkStart w:id="26" w:name="installation"/>
      <w:bookmarkEnd w:id="26"/>
      <w:r>
        <w:t xml:space="preserve">INSTALLATION</w:t>
      </w:r>
    </w:p>
    <w:p>
      <w:pPr>
        <w:pStyle w:val="FirstParagraph"/>
      </w:pPr>
      <w:r>
        <w:t xml:space="preserve">This pipeline involves several software for pathway analysis using GWAS summary statistics, as shown below,</w:t>
      </w:r>
    </w:p>
    <w:tbl>
      <w:tblPr>
        <w:tblStyle w:val="TableNormal"/>
        <w:tblW w:type="pct" w:w="5000.000000000001"/>
        <w:tblLook w:firstRow="1"/>
      </w:tblPr>
      <w:tblGrid>
        <w:gridCol w:w="5497"/>
        <w:gridCol w:w="1397"/>
        <w:gridCol w:w="10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Full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Reference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Meta-Analysis Gene-set Enrichment of variaNT Associations</w:t>
            </w:r>
          </w:p>
        </w:tc>
        <w:tc>
          <w:p>
            <w:pPr>
              <w:pStyle w:val="Compact"/>
              <w:jc w:val="left"/>
            </w:pPr>
            <w:r>
              <w:t xml:space="preserve">MAGENTA</w:t>
            </w:r>
          </w:p>
        </w:tc>
        <w:tc>
          <w:p>
            <w:pPr>
              <w:pStyle w:val="Compact"/>
              <w:jc w:val="left"/>
            </w:pPr>
            <w:r>
              <w:t xml:space="preserve">Segre, et al. (2010)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Multi-marker Analysis of GenoMic Annotation</w:t>
            </w:r>
          </w:p>
        </w:tc>
        <w:tc>
          <w:p>
            <w:pPr>
              <w:pStyle w:val="Compact"/>
              <w:jc w:val="left"/>
            </w:pPr>
            <w:r>
              <w:t xml:space="preserve">MAGMA</w:t>
            </w:r>
          </w:p>
        </w:tc>
        <w:tc>
          <w:p>
            <w:pPr>
              <w:pStyle w:val="Compact"/>
              <w:jc w:val="left"/>
            </w:pPr>
            <w:r>
              <w:t xml:space="preserve">de Leeuw, et al. (2015)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PAthway SCoring ALgorithm</w:t>
            </w:r>
          </w:p>
        </w:tc>
        <w:tc>
          <w:p>
            <w:pPr>
              <w:pStyle w:val="Compact"/>
              <w:jc w:val="left"/>
            </w:pPr>
            <w:r>
              <w:t xml:space="preserve">PASCAL</w:t>
            </w:r>
          </w:p>
        </w:tc>
        <w:tc>
          <w:p>
            <w:pPr>
              <w:pStyle w:val="Compact"/>
              <w:jc w:val="left"/>
            </w:pPr>
            <w:r>
              <w:t xml:space="preserve">Lamparter, et al. (2016)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Data-Driven Expression Prioritized Integration for Complex Traits</w:t>
            </w:r>
          </w:p>
        </w:tc>
        <w:tc>
          <w:p>
            <w:pPr>
              <w:pStyle w:val="Compact"/>
              <w:jc w:val="left"/>
            </w:pPr>
            <w:r>
              <w:t xml:space="preserve">DEPICT</w:t>
            </w:r>
          </w:p>
        </w:tc>
        <w:tc>
          <w:p>
            <w:pPr>
              <w:pStyle w:val="Compact"/>
              <w:jc w:val="left"/>
            </w:pPr>
            <w:r>
              <w:t xml:space="preserve">Pers, et al.(2015)</w:t>
            </w:r>
          </w:p>
        </w:tc>
      </w:tr>
    </w:tbl>
    <w:p>
      <w:pPr>
        <w:pStyle w:val="BodyText"/>
      </w:pPr>
      <w:r>
        <w:t xml:space="preserve">The full functionality of the pipeline requires availability of individual software for pathway analysis, which should fulfil</w:t>
      </w:r>
      <w:r>
        <w:t xml:space="preserve"> </w:t>
      </w:r>
      <w:r>
        <w:t xml:space="preserve">their requirements, e.g.,</w:t>
      </w:r>
      <w:r>
        <w:t xml:space="preserve"> </w:t>
      </w:r>
      <w:hyperlink r:id="rId27">
        <w:r>
          <w:rPr>
            <w:rStyle w:val="Hyperlink"/>
          </w:rPr>
          <w:t xml:space="preserve">Matlab</w:t>
        </w:r>
      </w:hyperlink>
      <w:r>
        <w:t xml:space="preserve"> </w:t>
      </w:r>
      <w:r>
        <w:t xml:space="preserve">for MAGENTA, PLINK. It is useful to</w:t>
      </w:r>
      <w:r>
        <w:t xml:space="preserve"> </w:t>
      </w:r>
      <w:r>
        <w:t xml:space="preserve">install</w:t>
      </w:r>
      <w:r>
        <w:t xml:space="preserve"> </w:t>
      </w:r>
      <w:hyperlink r:id="rId28">
        <w:r>
          <w:rPr>
            <w:rStyle w:val="Hyperlink"/>
          </w:rPr>
          <w:t xml:space="preserve">xpdf</w:t>
        </w:r>
      </w:hyperlink>
      <w:r>
        <w:t xml:space="preserve"> </w:t>
      </w:r>
      <w:r>
        <w:t xml:space="preserve">or</w:t>
      </w:r>
      <w:r>
        <w:t xml:space="preserve"> </w:t>
      </w:r>
      <w:hyperlink r:id="rId29">
        <w:r>
          <w:rPr>
            <w:rStyle w:val="Hyperlink"/>
          </w:rPr>
          <w:t xml:space="preserve">ImageMagick</w:t>
        </w:r>
      </w:hyperlink>
      <w:r>
        <w:t xml:space="preserve"> </w:t>
      </w:r>
      <w:r>
        <w:t xml:space="preserve">to produce Excel workbook. By</w:t>
      </w:r>
      <w:r>
        <w:t xml:space="preserve"> </w:t>
      </w:r>
      <w:r>
        <w:t xml:space="preserve">default</w:t>
      </w:r>
      <w:r>
        <w:t xml:space="preserve"> </w:t>
      </w:r>
      <w:hyperlink r:id="rId30">
        <w:r>
          <w:rPr>
            <w:rStyle w:val="Hyperlink"/>
          </w:rPr>
          <w:t xml:space="preserve">Sun grid engine</w:t>
        </w:r>
      </w:hyperlink>
      <w:r>
        <w:t xml:space="preserve"> </w:t>
      </w:r>
      <w:r>
        <w:t xml:space="preserve">is used but this can be any other mechanism such</w:t>
      </w:r>
      <w:r>
        <w:t xml:space="preserve"> </w:t>
      </w:r>
      <w:r>
        <w:t xml:space="preserve">as</w:t>
      </w:r>
      <w:r>
        <w:t xml:space="preserve"> </w:t>
      </w:r>
      <w:hyperlink r:id="rId31">
        <w:r>
          <w:rPr>
            <w:rStyle w:val="Hyperlink"/>
          </w:rPr>
          <w:t xml:space="preserve">GNU parallel</w:t>
        </w:r>
      </w:hyperlink>
      <w:r>
        <w:t xml:space="preserve"> </w:t>
      </w:r>
      <w:r>
        <w:t xml:space="preserve">[note with its --env to pass environment variables]. As usual,</w:t>
      </w:r>
      <w:r>
        <w:t xml:space="preserve"> </w:t>
      </w:r>
      <w:hyperlink r:id="rId3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is required.</w:t>
      </w:r>
    </w:p>
    <w:p>
      <w:pPr>
        <w:pStyle w:val="BodyText"/>
      </w:pPr>
      <w:r>
        <w:t xml:space="preserve">The pipeline itself can be installed from GitHub in the usual way.</w:t>
      </w:r>
    </w:p>
    <w:p>
      <w:pPr>
        <w:pStyle w:val="Heading2"/>
      </w:pPr>
      <w:bookmarkStart w:id="33" w:name="usage"/>
      <w:bookmarkEnd w:id="33"/>
      <w:r>
        <w:t xml:space="preserve">USAGE</w:t>
      </w:r>
    </w:p>
    <w:p>
      <w:pPr>
        <w:pStyle w:val="FirstParagraph"/>
      </w:pPr>
      <w:r>
        <w:t xml:space="preserve">The pipeline requires users to specify both software and database to be used. It is possible</w:t>
      </w:r>
      <w:r>
        <w:t xml:space="preserve"> </w:t>
      </w:r>
      <w:r>
        <w:t xml:space="preserve">that a given database can be used for several software when appropriate.</w:t>
      </w:r>
    </w:p>
    <w:p>
      <w:pPr>
        <w:pStyle w:val="BodyText"/>
      </w:pPr>
      <w:r>
        <w:t xml:space="preserve">The syntax is</w:t>
      </w:r>
    </w:p>
    <w:p>
      <w:pPr>
        <w:pStyle w:val="SourceCode"/>
      </w:pPr>
      <w:r>
        <w:rPr>
          <w:rStyle w:val="VerbatimChar"/>
        </w:rPr>
        <w:t xml:space="preserve">bash pwp.sh &lt;input file&gt;</w:t>
      </w:r>
    </w:p>
    <w:p>
      <w:pPr>
        <w:pStyle w:val="Heading3"/>
      </w:pPr>
      <w:bookmarkStart w:id="34" w:name="input"/>
      <w:bookmarkEnd w:id="34"/>
      <w:r>
        <w:t xml:space="preserve">Input</w:t>
      </w:r>
    </w:p>
    <w:p>
      <w:pPr>
        <w:pStyle w:val="FirstParagraph"/>
      </w:pPr>
      <w:r>
        <w:t xml:space="preserve">The input will be GWAS summary statistics</w:t>
      </w:r>
      <w:r>
        <w:t xml:space="preserve"> </w:t>
      </w:r>
      <w:hyperlink r:id="rId35">
        <w:r>
          <w:rPr>
            <w:rStyle w:val="Hyperlink"/>
          </w:rPr>
          <w:t xml:space="preserve">described here</w:t>
        </w:r>
      </w:hyperlink>
      <w:r>
        <w:t xml:space="preserve"> </w:t>
      </w:r>
      <w:r>
        <w:rPr>
          <w:b/>
        </w:rPr>
        <w:t xml:space="preserve">in that order without the header</w:t>
      </w:r>
      <w:r>
        <w:t xml:space="preserve">,</w:t>
      </w:r>
    </w:p>
    <w:p>
      <w:pPr>
        <w:pStyle w:val="Heading3"/>
      </w:pPr>
      <w:bookmarkStart w:id="36" w:name="output"/>
      <w:bookmarkEnd w:id="36"/>
      <w:r>
        <w:t xml:space="preserve">Output</w:t>
      </w:r>
    </w:p>
    <w:p>
      <w:pPr>
        <w:pStyle w:val="FirstParagraph"/>
      </w:pPr>
      <w:r>
        <w:t xml:space="preserve">The output will be available from individual directories named after the software you choose, and optionally in case all software are used the output can also be</w:t>
      </w:r>
      <w:r>
        <w:t xml:space="preserve"> </w:t>
      </w:r>
      <w:r>
        <w:t xml:space="preserve">an Excel workbook containing combined results.</w:t>
      </w:r>
    </w:p>
    <w:p>
      <w:pPr>
        <w:pStyle w:val="BodyText"/>
      </w:pPr>
      <w:r>
        <w:t xml:space="preserve">In case of DEPICT database, it is possible to call</w:t>
      </w:r>
      <w:r>
        <w:t xml:space="preserve"> </w:t>
      </w:r>
      <w:hyperlink r:id="rId37">
        <w:r>
          <w:rPr>
            <w:rStyle w:val="Hyperlink"/>
          </w:rPr>
          <w:t xml:space="preserve">netowrk_plot.py</w:t>
        </w:r>
      </w:hyperlink>
      <w:r>
        <w:t xml:space="preserve"> </w:t>
      </w:r>
      <w:r>
        <w:t xml:space="preserve">to generate network diagram and perform cluster analysis.</w:t>
      </w:r>
    </w:p>
    <w:p>
      <w:pPr>
        <w:pStyle w:val="Heading2"/>
      </w:pPr>
      <w:bookmarkStart w:id="38" w:name="example"/>
      <w:bookmarkEnd w:id="38"/>
      <w:r>
        <w:t xml:space="preserve">EXAMPLE</w:t>
      </w:r>
    </w:p>
    <w:p>
      <w:pPr>
        <w:pStyle w:val="FirstParagraph"/>
      </w:pPr>
      <w:r>
        <w:t xml:space="preserve">The two inputs can be prepared</w:t>
      </w:r>
      <w:r>
        <w:t xml:space="preserve"> </w:t>
      </w:r>
      <w:hyperlink r:id="rId3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bmi.txt</w:t>
      </w:r>
    </w:p>
    <w:p>
      <w:pPr>
        <w:pStyle w:val="SourceCode"/>
      </w:pPr>
      <w:r>
        <w:rPr>
          <w:rStyle w:val="VerbatimChar"/>
        </w:rPr>
        <w:t xml:space="preserve">pwp.sh bmi.txt</w:t>
      </w:r>
    </w:p>
    <w:p>
      <w:pPr>
        <w:pStyle w:val="FirstParagraph"/>
      </w:pPr>
      <w:r>
        <w:t xml:space="preserve">We now use</w:t>
      </w:r>
      <w:r>
        <w:t xml:space="preserve"> </w:t>
      </w:r>
      <w:r>
        <w:rPr>
          <w:rStyle w:val="VerbatimChar"/>
        </w:rPr>
        <w:t xml:space="preserve">ST4</w:t>
      </w:r>
      <w:r>
        <w:t xml:space="preserve">,</w:t>
      </w:r>
    </w:p>
    <w:p>
      <w:pPr>
        <w:pStyle w:val="SourceCode"/>
      </w:pPr>
      <w:r>
        <w:rPr>
          <w:rStyle w:val="VerbatimChar"/>
        </w:rPr>
        <w:t xml:space="preserve">pwp.sh ST4 &amp;</w:t>
      </w:r>
    </w:p>
    <w:p>
      <w:pPr>
        <w:pStyle w:val="Heading2"/>
      </w:pPr>
      <w:bookmarkStart w:id="39" w:name="features"/>
      <w:bookmarkEnd w:id="39"/>
      <w:r>
        <w:t xml:space="preserve">FEATURES</w:t>
      </w:r>
    </w:p>
    <w:p>
      <w:pPr>
        <w:pStyle w:val="FirstParagraph"/>
      </w:pPr>
      <w:r>
        <w:t xml:space="preserve">The pipeline puts together analyses involving several software using a unified input format and customises databases across</w:t>
      </w:r>
      <w:r>
        <w:t xml:space="preserve"> </w:t>
      </w:r>
      <w:r>
        <w:t xml:space="preserve">software, with the ability to collect results from them and add features such as FDRs and graphics with possibility for</w:t>
      </w:r>
      <w:r>
        <w:t xml:space="preserve"> </w:t>
      </w:r>
      <w:r>
        <w:t xml:space="preserve">additional analyses. The other aspect is that software such as MAGENTA and PASCAL could take long time while MAGENTA would</w:t>
      </w:r>
      <w:r>
        <w:t xml:space="preserve"> </w:t>
      </w:r>
      <w:r>
        <w:t xml:space="preserve">normally require a copy for a particular user and run interactively which would vie for resources with other interactive</w:t>
      </w:r>
      <w:r>
        <w:t xml:space="preserve"> </w:t>
      </w:r>
      <w:r>
        <w:t xml:space="preserve">sessions. The pipeline enables them run on noninteractive clusters.</w:t>
      </w:r>
    </w:p>
    <w:p>
      <w:pPr>
        <w:pStyle w:val="BodyText"/>
      </w:pPr>
      <w:r>
        <w:t xml:space="preserve">Several flags are notable: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collection_only.</w:t>
      </w:r>
      <w:r>
        <w:t xml:space="preserve"> </w:t>
      </w:r>
      <w:r>
        <w:t xml:space="preserve">If setting to 1, it only collects all available software outputs to form a final Excel file.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mp.</w:t>
      </w:r>
      <w:r>
        <w:t xml:space="preserve"> </w:t>
      </w:r>
      <w:r>
        <w:t xml:space="preserve">If setting to 1 it will regenerate multiple precision P and -log10(P) values from z, which is necessary when |z| is very large and P=0, -log10(P)=infinity.</w:t>
      </w:r>
    </w:p>
    <w:p>
      <w:pPr>
        <w:pStyle w:val="Compact"/>
        <w:numPr>
          <w:numId w:val="1001"/>
          <w:ilvl w:val="0"/>
        </w:numPr>
      </w:pPr>
      <w:r>
        <w:t xml:space="preserve">MAGENTA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min_gs_size.</w:t>
      </w:r>
      <w:r>
        <w:t xml:space="preserve"> </w:t>
      </w:r>
      <w:r>
        <w:t xml:space="preserve">By default, the mininum number of genes contained in a pathway is five rather than 10 in order to be consistent with other software and this can be changed to 10 via</w:t>
      </w:r>
      <w:r>
        <w:t xml:space="preserve"> </w:t>
      </w:r>
      <w:r>
        <w:rPr>
          <w:rStyle w:val="VerbatimChar"/>
        </w:rPr>
        <w:t xml:space="preserve">min_gs_size</w:t>
      </w:r>
      <w:r>
        <w:t xml:space="preserve"> </w:t>
      </w:r>
      <w:r>
        <w:t xml:space="preserve">in the script if you intend to use the same threshold.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max_gs_size.</w:t>
      </w:r>
      <w:r>
        <w:t xml:space="preserve"> </w:t>
      </w:r>
      <w:r>
        <w:t xml:space="preserve">By default, the maximum number of genes contained in a pathway is 2000 but this can be changed as above.</w:t>
      </w:r>
    </w:p>
    <w:p>
      <w:pPr>
        <w:pStyle w:val="Compact"/>
        <w:numPr>
          <w:numId w:val="1001"/>
          <w:ilvl w:val="0"/>
        </w:numPr>
      </w:pPr>
      <w:r>
        <w:t xml:space="preserve">DEPICT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number_of_threads.</w:t>
      </w:r>
      <w:r>
        <w:t xml:space="preserve"> </w:t>
      </w:r>
      <w:r>
        <w:t xml:space="preserve">Number of threads used by the Java binary.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p_threshold.</w:t>
      </w:r>
      <w:r>
        <w:t xml:space="preserve"> </w:t>
      </w:r>
      <w:r>
        <w:t xml:space="preserve">This is to accommodate the suggestion that DEPICT is run twice, for P&lt;=5 x 10</w:t>
      </w:r>
      <w:r>
        <w:t xml:space="preserve">-8</w:t>
      </w:r>
      <w:r>
        <w:t xml:space="preserve"> </w:t>
      </w:r>
      <w:r>
        <w:t xml:space="preserve">and P&lt;=10</w:t>
      </w:r>
      <w:r>
        <w:t xml:space="preserve">-5</w:t>
      </w:r>
      <w:r>
        <w:t xml:space="preserve">, respectively.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nr_repititions.</w:t>
      </w:r>
      <w:r>
        <w:t xml:space="preserve"> </w:t>
      </w:r>
      <w:r>
        <w:t xml:space="preserve">This sets the number of random sampling (200) for calculated FDR.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cutoff_type.</w:t>
      </w:r>
      <w:r>
        <w:t xml:space="preserve"> </w:t>
      </w:r>
      <w:r>
        <w:t xml:space="preserve">This takes value of</w:t>
      </w:r>
      <w:r>
        <w:t xml:space="preserve"> </w:t>
      </w:r>
      <w:r>
        <w:rPr>
          <w:rStyle w:val="VerbatimChar"/>
        </w:rPr>
        <w:t xml:space="preserve">fdr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pvalue</w:t>
      </w:r>
      <w:r>
        <w:t xml:space="preserve"> </w:t>
      </w:r>
      <w:r>
        <w:t xml:space="preserve">for network plot.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pvalue_cutoff.</w:t>
      </w:r>
      <w:r>
        <w:t xml:space="preserve"> </w:t>
      </w:r>
      <w:r>
        <w:t xml:space="preserve">This sets pvalue cutoff for</w:t>
      </w:r>
      <w:r>
        <w:t xml:space="preserve"> </w:t>
      </w:r>
      <w:r>
        <w:rPr>
          <w:rStyle w:val="VerbatimChar"/>
        </w:rPr>
        <w:t xml:space="preserve">cutoff_type</w:t>
      </w:r>
      <w:r>
        <w:t xml:space="preserve">=</w:t>
      </w:r>
      <w:r>
        <w:rPr>
          <w:rStyle w:val="VerbatimChar"/>
        </w:rPr>
        <w:t xml:space="preserve">pvalue</w:t>
      </w:r>
      <w:r>
        <w:t xml:space="preserve"> </w:t>
      </w:r>
      <w:r>
        <w:t xml:space="preserve">for network plot.</w:t>
      </w:r>
    </w:p>
    <w:p>
      <w:pPr>
        <w:pStyle w:val="FirstParagraph"/>
      </w:pPr>
      <w:r>
        <w:t xml:space="preserve">Moreover, potential downstream analysis such as clustering significant pathways and network of pathways is illustrated with</w:t>
      </w:r>
      <w:r>
        <w:t xml:space="preserve"> </w:t>
      </w:r>
      <w:hyperlink r:id="rId40">
        <w:r>
          <w:rPr>
            <w:rStyle w:val="Hyperlink"/>
          </w:rPr>
          <w:t xml:space="preserve">network.sh</w:t>
        </w:r>
      </w:hyperlink>
      <w:r>
        <w:t xml:space="preserve">, which performs affinity propagation and k-means clustering as well as generates .csv and .sif formats to be used by</w:t>
      </w:r>
      <w:r>
        <w:t xml:space="preserve"> </w:t>
      </w:r>
      <w:r>
        <w:t xml:space="preserve">software gephi and Cytoscape.</w:t>
      </w:r>
    </w:p>
    <w:p>
      <w:pPr>
        <w:pStyle w:val="BodyText"/>
      </w:pPr>
      <w:r>
        <w:t xml:space="preserve">Individual software are briefly described as follows.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MAGENTA</w:t>
      </w:r>
      <w:r>
        <w:t xml:space="preserve">. Segre, et al. (2010) describes how it works:</w:t>
      </w:r>
    </w:p>
    <w:p>
      <w:pPr>
        <w:numPr>
          <w:numId w:val="1003"/>
          <w:ilvl w:val="0"/>
        </w:numPr>
      </w:pPr>
      <w:r>
        <w:t xml:space="preserve">DNA variants, e.g. single-nucleotide polymorphisms (SNPs), are mapped onto genes.</w:t>
      </w:r>
    </w:p>
    <w:p>
      <w:pPr>
        <w:numPr>
          <w:numId w:val="1003"/>
          <w:ilvl w:val="0"/>
        </w:numPr>
      </w:pPr>
      <w:r>
        <w:t xml:space="preserve">each gene is assigned a gene association score that is a function of its regional SNP association p-values.</w:t>
      </w:r>
    </w:p>
    <w:p>
      <w:pPr>
        <w:numPr>
          <w:numId w:val="1003"/>
          <w:ilvl w:val="0"/>
        </w:numPr>
      </w:pPr>
      <w:r>
        <w:t xml:space="preserve">confounding effects on gene association scores are identified and corrected for, without requiring genotype data (enabling</w:t>
      </w:r>
      <w:r>
        <w:t xml:space="preserve"> </w:t>
      </w:r>
      <w:r>
        <w:t xml:space="preserve">use of meta-analyses or other types of GWA studies where only variant association statistics are available).</w:t>
      </w:r>
    </w:p>
    <w:p>
      <w:pPr>
        <w:numPr>
          <w:numId w:val="1003"/>
          <w:ilvl w:val="0"/>
        </w:numPr>
      </w:pPr>
      <w:r>
        <w:t xml:space="preserve">a Gene Set Enrichment Analysis (GSEA)-like statistical test is applied to predefined biologically relevant gene sets to</w:t>
      </w:r>
      <w:r>
        <w:t xml:space="preserve"> </w:t>
      </w:r>
      <w:r>
        <w:t xml:space="preserve">determine whether any of the gene sets are enriched for highly ranked gene association scores compared to randomly sampled</w:t>
      </w:r>
      <w:r>
        <w:t xml:space="preserve"> </w:t>
      </w:r>
      <w:r>
        <w:t xml:space="preserve">gene sets of identical size from the genome.``</w:t>
      </w:r>
    </w:p>
    <w:p>
      <w:pPr>
        <w:pStyle w:val="FirstParagraph"/>
      </w:pPr>
      <w:r>
        <w:t xml:space="preserve">It maps SNPs to genes taking 110 Kb upstream and 40 Kb downstream of each gene as extended boundaries to include regulatory</w:t>
      </w:r>
      <w:r>
        <w:t xml:space="preserve"> </w:t>
      </w:r>
      <w:r>
        <w:t xml:space="preserve">regions. Each gene is then assigned a genetic set (GS) score, which is the P-value of the most significant SNP within the</w:t>
      </w:r>
      <w:r>
        <w:t xml:space="preserve"> </w:t>
      </w:r>
      <w:r>
        <w:t xml:space="preserve">gene’s extended boundaries, corrected for potential confounding factors of physical and genetic properties of genes through a</w:t>
      </w:r>
      <w:r>
        <w:t xml:space="preserve"> </w:t>
      </w:r>
      <w:r>
        <w:t xml:space="preserve">step-wise multiple linear regression.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MAGMA</w:t>
      </w:r>
      <w:r>
        <w:t xml:space="preserve">. It consists of three steps: annotation (</w:t>
      </w:r>
      <w:r>
        <w:rPr>
          <w:rStyle w:val="VerbatimChar"/>
        </w:rPr>
        <w:t xml:space="preserve">--annotate</w:t>
      </w:r>
      <w:r>
        <w:t xml:space="preserve">), gene analysis-SNP p values (</w:t>
      </w:r>
      <w:r>
        <w:rPr>
          <w:rStyle w:val="VerbatimChar"/>
        </w:rPr>
        <w:t xml:space="preserve">--pval --gene-annot</w:t>
      </w:r>
      <w:r>
        <w:t xml:space="preserve">), and</w:t>
      </w:r>
      <w:r>
        <w:t xml:space="preserve"> </w:t>
      </w:r>
      <w:r>
        <w:t xml:space="preserve">gene-set analysis (</w:t>
      </w:r>
      <w:r>
        <w:rPr>
          <w:rStyle w:val="VerbatimChar"/>
        </w:rPr>
        <w:t xml:space="preserve">--gene-results --set-annot</w:t>
      </w:r>
      <w:r>
        <w:t xml:space="preserve">).</w:t>
      </w:r>
    </w:p>
    <w:p>
      <w:pPr>
        <w:pStyle w:val="FirstParagraph"/>
      </w:pPr>
      <w:r>
        <w:t xml:space="preserve">The gene-set analysis is divided into two parts.</w:t>
      </w:r>
    </w:p>
    <w:p>
      <w:pPr>
        <w:numPr>
          <w:numId w:val="1005"/>
          <w:ilvl w:val="0"/>
        </w:numPr>
      </w:pPr>
      <w:r>
        <w:t xml:space="preserve">a gene analysis is performed to quantify the degree of association each gene has with the phenotype. In addition the</w:t>
      </w:r>
      <w:r>
        <w:t xml:space="preserve"> </w:t>
      </w:r>
      <w:r>
        <w:t xml:space="preserve">correlations between genes are estimated. These correlations reflect the LD between genes, and are needed in order to</w:t>
      </w:r>
      <w:r>
        <w:t xml:space="preserve"> </w:t>
      </w:r>
      <w:r>
        <w:t xml:space="preserve">compensate for the dependencies between genes during the gene-set analysis.</w:t>
      </w:r>
    </w:p>
    <w:p>
      <w:pPr>
        <w:numPr>
          <w:numId w:val="1005"/>
          <w:ilvl w:val="0"/>
        </w:numPr>
      </w:pPr>
      <w:r>
        <w:t xml:space="preserve">the gene p-values and gene correlation matrix are then used to perform the actual gene-set analysis.</w:t>
      </w:r>
    </w:p>
    <w:p>
      <w:pPr>
        <w:numPr>
          <w:numId w:val="1006"/>
          <w:ilvl w:val="0"/>
        </w:numPr>
      </w:pPr>
      <w:r>
        <w:rPr>
          <w:b/>
        </w:rPr>
        <w:t xml:space="preserve">PASCAL</w:t>
      </w:r>
      <w:r>
        <w:t xml:space="preserve">. Gene scores are obtained by aggregating SNP p-values from a GWAS meta-analysis while</w:t>
      </w:r>
      <w:r>
        <w:t xml:space="preserve"> </w:t>
      </w:r>
      <w:r>
        <w:t xml:space="preserve">correcting for LD using a reference population via the max and sum of chi-squared statistics based on</w:t>
      </w:r>
      <w:r>
        <w:t xml:space="preserve"> </w:t>
      </w:r>
      <w:r>
        <w:t xml:space="preserve">the most significant SNP and the average association signal across the region, respectively. Gene</w:t>
      </w:r>
      <w:r>
        <w:t xml:space="preserve"> </w:t>
      </w:r>
      <w:r>
        <w:t xml:space="preserve">sets are based on external databases for reported pathways by combining the scores of genes that</w:t>
      </w:r>
      <w:r>
        <w:t xml:space="preserve"> </w:t>
      </w:r>
      <w:r>
        <w:t xml:space="preserve">belong to the same pathways. Pathway enrichment of high-scoring (potentially fused) genes is</w:t>
      </w:r>
      <w:r>
        <w:t xml:space="preserve"> </w:t>
      </w:r>
      <w:r>
        <w:t xml:space="preserve">evaluated using parameter-free procedures (chi-square or empirical score), avoiding any p-value</w:t>
      </w:r>
      <w:r>
        <w:t xml:space="preserve"> </w:t>
      </w:r>
      <w:r>
        <w:t xml:space="preserve">cut-off inherent to standard binary enrichment tests.</w:t>
      </w:r>
    </w:p>
    <w:p>
      <w:pPr>
        <w:numPr>
          <w:numId w:val="1006"/>
          <w:ilvl w:val="0"/>
        </w:numPr>
      </w:pPr>
      <w:r>
        <w:rPr>
          <w:b/>
        </w:rPr>
        <w:t xml:space="preserve">DEPICT</w:t>
      </w:r>
      <w:r>
        <w:t xml:space="preserve">. It is a computational framework for gene prioritization, GSEA and tissue/cell type</w:t>
      </w:r>
      <w:r>
        <w:t xml:space="preserve"> </w:t>
      </w:r>
      <w:r>
        <w:t xml:space="preserve">enrichment analysis. The GSEA is perfomed by testing whether genes in GWAS-associated loci are</w:t>
      </w:r>
      <w:r>
        <w:t xml:space="preserve"> </w:t>
      </w:r>
      <w:r>
        <w:t xml:space="preserve">enriched for reconstituted versions of known molecular pathways (jointly referred to as reconstituted</w:t>
      </w:r>
      <w:r>
        <w:t xml:space="preserve"> </w:t>
      </w:r>
      <w:r>
        <w:t xml:space="preserve">gene sets). The reconstitution is accomplished by identifying genes that are co-regulated with other</w:t>
      </w:r>
      <w:r>
        <w:t xml:space="preserve"> </w:t>
      </w:r>
      <w:r>
        <w:t xml:space="preserve">genes in a given gene set based on a panel of 77,840 gene expression microarrays. Genes that are</w:t>
      </w:r>
      <w:r>
        <w:t xml:space="preserve"> </w:t>
      </w:r>
      <w:r>
        <w:t xml:space="preserve">found to be transcriptionally co-regulated with genes from the original gene set are added to the</w:t>
      </w:r>
      <w:r>
        <w:t xml:space="preserve"> </w:t>
      </w:r>
      <w:r>
        <w:t xml:space="preserve">gene set, which results in the reconstitution. DEPICT also facilitates tissue and cell type</w:t>
      </w:r>
      <w:r>
        <w:t xml:space="preserve"> </w:t>
      </w:r>
      <w:r>
        <w:t xml:space="preserve">enrichment analyses by testing whether the genes in associated regions are highly expressed in any of</w:t>
      </w:r>
      <w:r>
        <w:t xml:space="preserve"> </w:t>
      </w:r>
      <w:r>
        <w:t xml:space="preserve">the 209 MeSH annotations for 37,427 microarrays on the Affymetrix U133 Plus 2.0 Array platform.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p.adjust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R/stats</w:t>
      </w:r>
      <w:r>
        <w:t xml:space="preserve"> </w:t>
      </w:r>
      <w:r>
        <w:t xml:space="preserve">can be used to obtain FDRs and count the number of pathways</w:t>
      </w:r>
      <w:r>
        <w:t xml:space="preserve"> </w:t>
      </w:r>
      <w:r>
        <w:t xml:space="preserve">reaching FDR&lt;=0.05. It implements the so-called Benjamini-Hochberg (BH) procedure, which attempts to</w:t>
      </w:r>
      <w:r>
        <w:t xml:space="preserve"> </w:t>
      </w:r>
      <w:r>
        <w:t xml:space="preserve">control for expected proportion of false discoveries among the rejected hypotheses (i.e., those with</w:t>
      </w:r>
      <w:r>
        <w:t xml:space="preserve"> </w:t>
      </w:r>
      <w:r>
        <w:t xml:space="preserve">p values below 0.05) and most powerful for independent tests. The BH procedure for an m number of</w:t>
      </w:r>
      <w:r>
        <w:t xml:space="preserve"> </w:t>
      </w:r>
      <w:r>
        <w:t xml:space="preserve">tests (pathways) achieves false discovery rate at level α by finding the largest number k such that p</w:t>
      </w:r>
      <w:r>
        <w:t xml:space="preserve"> </w:t>
      </w:r>
      <w:r>
        <w:t xml:space="preserve">values is no greater than (k/m)α, and declares only those below this threshold as being significant,</w:t>
      </w:r>
      <w:r>
        <w:t xml:space="preserve"> </w:t>
      </w:r>
      <w:r>
        <w:t xml:space="preserve">https://en.wikipedia.org/wiki/False_discovery_rate.</w:t>
      </w:r>
    </w:p>
    <w:p>
      <w:pPr>
        <w:pStyle w:val="Heading2"/>
      </w:pPr>
      <w:bookmarkStart w:id="41" w:name="databases"/>
      <w:bookmarkEnd w:id="41"/>
      <w:r>
        <w:t xml:space="preserve">DATABASES</w:t>
      </w:r>
    </w:p>
    <w:p>
      <w:pPr>
        <w:pStyle w:val="FirstParagraph"/>
      </w:pPr>
      <w:r>
        <w:t xml:space="preserve">Several databases can be supplied to MAGENTA, MAGMA and PASCAL while by default DEPICT uses its own database. The following table helps to choose specific software</w:t>
      </w:r>
      <w:r>
        <w:t xml:space="preserve"> </w:t>
      </w:r>
      <w:r>
        <w:t xml:space="preserve">and database combinations,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MAGENTA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DEPICT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MAGENTA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MSigDB/c2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MSigDB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DEPICT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DEPICT*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p>
      <w:pPr>
        <w:pStyle w:val="BodyText"/>
      </w:pPr>
      <w:r>
        <w:t xml:space="preserve">* The common database to all software is derived from</w:t>
      </w:r>
      <w:r>
        <w:t xml:space="preserve"> </w:t>
      </w:r>
      <w:hyperlink r:id="rId42">
        <w:r>
          <w:rPr>
            <w:rStyle w:val="Hyperlink"/>
          </w:rPr>
          <w:t xml:space="preserve">a database from DEPICT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pStyle w:val="BodyText"/>
      </w:pPr>
      <w:r>
        <w:t xml:space="preserve">Except DEPICT, MAGENTA database, all or part (c2) of pathways in Molecular Signatures Database (MSigDB) can also be used. An</w:t>
      </w:r>
      <w:r>
        <w:t xml:space="preserve"> </w:t>
      </w:r>
      <w:r>
        <w:t xml:space="preserve">entry in MAGENTA database contains a database ID, a pathway ID, followed by a list of Entrez gene IDs. Although MSigDB has an</w:t>
      </w:r>
      <w:r>
        <w:t xml:space="preserve"> </w:t>
      </w:r>
      <w:r>
        <w:t xml:space="preserve">additional column after the pathway ID indicating URLs of the pathway, it would be ignored by MAGMA for instance since these</w:t>
      </w:r>
      <w:r>
        <w:t xml:space="preserve"> </w:t>
      </w:r>
      <w:r>
        <w:t xml:space="preserve">URLs do not match any Entrez gene IDs thus has no effect on the results. This feature facilitates use of software</w:t>
      </w:r>
      <w:r>
        <w:t xml:space="preserve"> </w:t>
      </w:r>
      <w:r>
        <w:t xml:space="preserve">considerably. Comparative as well as individual results including figures are kept in Excel workbooks called mmp.xlsx,</w:t>
      </w:r>
      <w:r>
        <w:t xml:space="preserve"> </w:t>
      </w:r>
      <w:r>
        <w:t xml:space="preserve">depict.xlsx and xlsx.xlsx, respectively.</w:t>
      </w:r>
    </w:p>
    <w:p>
      <w:pPr>
        <w:pStyle w:val="BodyText"/>
      </w:pPr>
      <w:r>
        <w:t xml:space="preserve">Additional details about these databases are described here.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MAGENTA</w:t>
      </w:r>
      <w:r>
        <w:t xml:space="preserve">. There are six databases (.db) with a total of 10,327 entries were distributed with the MATLAB implementation: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GO_terms_BioProc_MolFunc</w:t>
            </w:r>
          </w:p>
        </w:tc>
        <w:tc>
          <w:p>
            <w:pPr>
              <w:pStyle w:val="Compact"/>
              <w:jc w:val="left"/>
            </w:pPr>
            <w:r>
              <w:t xml:space="preserve">9,433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Ingenuity_pathways</w:t>
            </w:r>
          </w:p>
        </w:tc>
        <w:tc>
          <w:p>
            <w:pPr>
              <w:pStyle w:val="Compact"/>
              <w:jc w:val="lef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KEGG_pathways</w:t>
            </w:r>
          </w:p>
        </w:tc>
        <w:tc>
          <w:p>
            <w:pPr>
              <w:pStyle w:val="Compact"/>
              <w:jc w:val="left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PANTHER_BioProc</w:t>
            </w:r>
          </w:p>
        </w:tc>
        <w:tc>
          <w:p>
            <w:pPr>
              <w:pStyle w:val="Compact"/>
              <w:jc w:val="left"/>
            </w:pPr>
            <w:r>
              <w:t xml:space="preserve">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PANTHER_MolFunc</w:t>
            </w:r>
          </w:p>
        </w:tc>
        <w:tc>
          <w:p>
            <w:pPr>
              <w:pStyle w:val="Compact"/>
              <w:jc w:val="lef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PANTHER_pathways</w:t>
            </w:r>
          </w:p>
        </w:tc>
        <w:tc>
          <w:p>
            <w:pPr>
              <w:pStyle w:val="Compact"/>
              <w:jc w:val="left"/>
            </w:pPr>
            <w:r>
              <w:t xml:space="preserve">141</w:t>
            </w:r>
          </w:p>
        </w:tc>
      </w:tr>
    </w:tbl>
    <w:p>
      <w:pPr>
        <w:pStyle w:val="BodyText"/>
      </w:pPr>
      <w:r>
        <w:t xml:space="preserve">Only 2,529 contain 10 or more genes were used by MAGENTA by default, leading to Bonferroni threshold 0.05/2529=1.977066e-05 when only this subset is used.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MSigDB</w:t>
      </w:r>
      <w:r>
        <w:t xml:space="preserve"> </w:t>
      </w:r>
      <w:r>
        <w:t xml:space="preserve">(http://software.broadinstitute.org/gsea/msigdb/collections.jsp). The MSigDB v6.0 is</w:t>
      </w:r>
      <w:r>
        <w:t xml:space="preserve"> </w:t>
      </w:r>
      <w:r>
        <w:t xml:space="preserve">divided into 8 major collections and several sub-collections on 17,779 gene sets, c2 containing 4,731</w:t>
      </w:r>
      <w:r>
        <w:t xml:space="preserve"> </w:t>
      </w:r>
      <w:r>
        <w:t xml:space="preserve">curated gene sets (from various sources such as online pathway databases, the biomedical literature,</w:t>
      </w:r>
      <w:r>
        <w:t xml:space="preserve"> </w:t>
      </w:r>
      <w:r>
        <w:t xml:space="preserve">and knowledge of domain experts. MSigDB/BIOCARTA_KEGG_REACTOME came as default to PASCAL and MSigDB</w:t>
      </w:r>
      <w:r>
        <w:t xml:space="preserve"> </w:t>
      </w:r>
      <w:r>
        <w:t xml:space="preserve">v4.0 is distributed with PASCAL.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Bonferroni threshold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c2.all.v6.0.entrez.gmt</w:t>
            </w:r>
          </w:p>
        </w:tc>
        <w:tc>
          <w:p>
            <w:pPr>
              <w:pStyle w:val="Compact"/>
              <w:jc w:val="left"/>
            </w:pPr>
            <w:r>
              <w:t xml:space="preserve">4,731</w:t>
            </w:r>
          </w:p>
        </w:tc>
        <w:tc>
          <w:p>
            <w:pPr>
              <w:pStyle w:val="Compact"/>
              <w:jc w:val="left"/>
            </w:pPr>
            <w:r>
              <w:t xml:space="preserve">1.056859015007398e-05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msigBIOCARTA_KEGG_REACTOME.gmt</w:t>
            </w:r>
          </w:p>
        </w:tc>
        <w:tc>
          <w:p>
            <w:pPr>
              <w:pStyle w:val="Compact"/>
              <w:jc w:val="left"/>
            </w:pPr>
            <w:r>
              <w:t xml:space="preserve">1,077</w:t>
            </w:r>
          </w:p>
        </w:tc>
        <w:tc>
          <w:p>
            <w:pPr>
              <w:pStyle w:val="Compact"/>
              <w:jc w:val="left"/>
            </w:pPr>
            <w:r>
              <w:t xml:space="preserve">4.642525533890436e-05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msigdb.v4.0.entrez.gmt</w:t>
            </w:r>
          </w:p>
        </w:tc>
        <w:tc>
          <w:p>
            <w:pPr>
              <w:pStyle w:val="Compact"/>
              <w:jc w:val="left"/>
            </w:pPr>
            <w:r>
              <w:t xml:space="preserve">10,295</w:t>
            </w:r>
          </w:p>
        </w:tc>
        <w:tc>
          <w:p>
            <w:pPr>
              <w:pStyle w:val="Compact"/>
              <w:jc w:val="left"/>
            </w:pPr>
            <w:r>
              <w:t xml:space="preserve">4.85672656629431e-06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msigdb.v6.0.entrez.gmt</w:t>
            </w:r>
          </w:p>
        </w:tc>
        <w:tc>
          <w:p>
            <w:pPr>
              <w:pStyle w:val="Compact"/>
              <w:jc w:val="left"/>
            </w:pPr>
            <w:r>
              <w:t xml:space="preserve">17,779</w:t>
            </w:r>
          </w:p>
        </w:tc>
        <w:tc>
          <w:p>
            <w:pPr>
              <w:pStyle w:val="Compact"/>
              <w:jc w:val="left"/>
            </w:pPr>
            <w:r>
              <w:t xml:space="preserve">2.81230665391754e--06</w:t>
            </w:r>
          </w:p>
        </w:tc>
      </w:tr>
    </w:tbl>
    <w:p>
      <w:pPr>
        <w:pStyle w:val="Compact"/>
        <w:numPr>
          <w:numId w:val="1009"/>
          <w:ilvl w:val="0"/>
        </w:numPr>
      </w:pPr>
      <w:r>
        <w:rPr>
          <w:b/>
        </w:rPr>
        <w:t xml:space="preserve">DEPICT</w:t>
      </w:r>
      <w:r>
        <w:t xml:space="preserve">. Some of the entries are described in the following table,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 database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 molecular pathways</w:t>
            </w:r>
          </w:p>
        </w:tc>
        <w:tc>
          <w:p>
            <w:pPr>
              <w:pStyle w:val="Compact"/>
              <w:jc w:val="left"/>
            </w:pPr>
            <w:r>
              <w:t xml:space="preserve">5,984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Phenotypic gene sets</w:t>
            </w:r>
          </w:p>
        </w:tc>
        <w:tc>
          <w:p>
            <w:pPr>
              <w:pStyle w:val="Compact"/>
              <w:jc w:val="left"/>
            </w:pPr>
            <w:r>
              <w:t xml:space="preserve">2,473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Reactome database pathways</w:t>
            </w:r>
          </w:p>
        </w:tc>
        <w:tc>
          <w:p>
            <w:pPr>
              <w:pStyle w:val="Compact"/>
              <w:jc w:val="left"/>
            </w:pPr>
            <w:r>
              <w:t xml:space="preserve">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KEGG pathways and gene ontology terms</w:t>
            </w:r>
          </w:p>
        </w:tc>
        <w:tc>
          <w:p>
            <w:pPr>
              <w:pStyle w:val="Compact"/>
              <w:jc w:val="left"/>
            </w:pPr>
            <w:r>
              <w:t xml:space="preserve">184</w:t>
            </w:r>
          </w:p>
        </w:tc>
      </w:tr>
    </w:tbl>
    <w:p>
      <w:pPr>
        <w:pStyle w:val="BodyText"/>
      </w:pPr>
      <w:r>
        <w:t xml:space="preserve">The protein molecular pathways were deribed from 169,810 high-confidence experimentally derived protein-protein interactions,</w:t>
      </w:r>
      <w:r>
        <w:t xml:space="preserve"> </w:t>
      </w:r>
      <w:r>
        <w:t xml:space="preserve">the phenotypic gene sets were from from 211,882 gene-phenotype pairs from the mouse genetics initiative and 5,083 gene</w:t>
      </w:r>
      <w:r>
        <w:t xml:space="preserve"> </w:t>
      </w:r>
      <w:r>
        <w:t xml:space="preserve">ontology terms.</w:t>
      </w:r>
    </w:p>
    <w:p>
      <w:pPr>
        <w:pStyle w:val="BodyText"/>
      </w:pPr>
      <w:r>
        <w:t xml:space="preserve">An additional note relates to the DEPICT database: while it is appropriate for comparison, many</w:t>
      </w:r>
      <w:r>
        <w:t xml:space="preserve"> </w:t>
      </w:r>
      <w:r>
        <w:t xml:space="preserve">entries are named after the ENSEMBL GENEID, e.g., ENSG00000000419, linking a reconstituted geneset</w:t>
      </w:r>
      <w:r>
        <w:t xml:space="preserve"> </w:t>
      </w:r>
      <w:r>
        <w:t xml:space="preserve">containing C20orf11 (3.2), TOMM22 (3.1), CSDA (2.3), C5orf47 (2.2), EIF4EBP1 (2.2), NCK1 (2.2),</w:t>
      </w:r>
      <w:r>
        <w:t xml:space="preserve"> </w:t>
      </w:r>
      <w:r>
        <w:t xml:space="preserve">ZNF337 (2.2), GORASP2 (2.1), KDELR3 (2.1), SNX17 (2.1), FAM208B (2.0), ENSG00000243155 (1.9),</w:t>
      </w:r>
      <w:r>
        <w:t xml:space="preserve"> </w:t>
      </w:r>
      <w:r>
        <w:t xml:space="preserve">ENSG00000227195 (1.9), GDI2 (1.9), INHBB (1.8), OCIAD1 (1.7), SMU1 (1.7), ENTPD6 (1.6), LRRC41 (1.6),</w:t>
      </w:r>
      <w:r>
        <w:t xml:space="preserve"> </w:t>
      </w:r>
      <w:r>
        <w:t xml:space="preserve">EIF2B4 (1.6), IRAK3 (1.5), SUMF2 (1.4), CCDC117 (1.4), POMGNT1 (1.3), NANP (1.3), SLC17A9 (1.3),</w:t>
      </w:r>
      <w:r>
        <w:t xml:space="preserve"> </w:t>
      </w:r>
      <w:r>
        <w:t xml:space="preserve">TMEM14B (1.3), CRLS1 (1.2), APTX (1.2), SBNO1 (1.2), MPV17 (1.2), EXD1 (1.2), DNAJB14 (1.2), CALCR</w:t>
      </w:r>
      <w:r>
        <w:t xml:space="preserve"> </w:t>
      </w:r>
      <w:r>
        <w:t xml:space="preserve">(1.2), GSPT1 (1.1), ENSG00000228389 (1.1), METAP1D (1.0), MYCBP (1.0), RSL1D1 (0.9), IFT172 (0.9),</w:t>
      </w:r>
      <w:r>
        <w:t xml:space="preserve"> </w:t>
      </w:r>
      <w:r>
        <w:t xml:space="preserve">SLC25A12 (0.9), C11orf46 (0.9), PIWIL1 (0.9), ABHD12 (0.9), EIF3M (0.8), CBY1 (0.8), SLCO4A1 (0.8),</w:t>
      </w:r>
      <w:r>
        <w:t xml:space="preserve"> </w:t>
      </w:r>
      <w:r>
        <w:t xml:space="preserve">ODF1(0.8), SUV420H2 (0.8), TNFRSF17 (0.7) with value in the bracket being the z-score in the original</w:t>
      </w:r>
      <w:r>
        <w:t xml:space="preserve"> </w:t>
      </w:r>
      <w:r>
        <w:t xml:space="preserve">DEPICT database, so extra work is required to work out the gene SYMBOL in pathways. This can be done</w:t>
      </w:r>
      <w:r>
        <w:t xml:space="preserve"> </w:t>
      </w:r>
      <w:r>
        <w:t xml:space="preserve">via R/ensembldb as follows,</w:t>
      </w:r>
    </w:p>
    <w:p>
      <w:pPr>
        <w:pStyle w:val="SourceCode"/>
      </w:pPr>
      <w:r>
        <w:rPr>
          <w:rStyle w:val="VerbatimChar"/>
        </w:rPr>
        <w:t xml:space="preserve">library(EnsDb.Hsapiens.v86)</w:t>
      </w:r>
      <w:r>
        <w:br w:type="textWrapping"/>
      </w:r>
      <w:r>
        <w:rPr>
          <w:rStyle w:val="VerbatimChar"/>
        </w:rPr>
        <w:t xml:space="preserve">chrall &lt;- select(EnsDb.Hsapiens.v86, keys=paste(1:22), keytype="SEQNAME")</w:t>
      </w:r>
      <w:r>
        <w:br w:type="textWrapping"/>
      </w:r>
      <w:r>
        <w:rPr>
          <w:rStyle w:val="VerbatimChar"/>
        </w:rPr>
        <w:t xml:space="preserve">chrall_table &lt;- subset(chr22[selcol],!duplicated(chr22[selcol]))</w:t>
      </w:r>
      <w:r>
        <w:br w:type="textWrapping"/>
      </w:r>
      <w:r>
        <w:rPr>
          <w:rStyle w:val="VerbatimChar"/>
        </w:rPr>
        <w:t xml:space="preserve">write.table(chrall_table,file="GS.txt",quote=FALSE,row.names=FALSE,col.names=FALSE)</w:t>
      </w:r>
    </w:p>
    <w:p>
      <w:pPr>
        <w:pStyle w:val="FirstParagraph"/>
      </w:pPr>
      <w:r>
        <w:t xml:space="preserve">So ENSG00000000419 corresponds to DPM1, ENSG00000243155 to RP11-46A10.5 but ENSG00000228389 does not</w:t>
      </w:r>
      <w:r>
        <w:t xml:space="preserve"> </w:t>
      </w:r>
      <w:r>
        <w:t xml:space="preserve">correspond to any symbol. In general, a gene symbol may be mapped to more than one GENEID.</w:t>
      </w:r>
    </w:p>
    <w:p>
      <w:pPr>
        <w:pStyle w:val="BodyText"/>
      </w:pPr>
      <w:r>
        <w:t xml:space="preserve">As for Gene Ontology and Mammalian Phenotype Ontology this could be done similarly,</w:t>
      </w:r>
    </w:p>
    <w:p>
      <w:pPr>
        <w:pStyle w:val="SourceCode"/>
      </w:pPr>
      <w:r>
        <w:rPr>
          <w:rStyle w:val="VerbatimChar"/>
        </w:rPr>
        <w:t xml:space="preserve">library(GO.db)</w:t>
      </w:r>
      <w:r>
        <w:br w:type="textWrapping"/>
      </w:r>
      <w:r>
        <w:rPr>
          <w:rStyle w:val="VerbatimChar"/>
        </w:rPr>
        <w:t xml:space="preserve">x &lt;- as.list(GOTERM)</w:t>
      </w:r>
      <w:r>
        <w:br w:type="textWrapping"/>
      </w:r>
      <w:r>
        <w:rPr>
          <w:rStyle w:val="VerbatimChar"/>
        </w:rPr>
        <w:t xml:space="preserve">golist &lt;- c("GO:0000002","GO:0000018")</w:t>
      </w:r>
      <w:r>
        <w:br w:type="textWrapping"/>
      </w:r>
      <w:r>
        <w:rPr>
          <w:rStyle w:val="VerbatimChar"/>
        </w:rPr>
        <w:t xml:space="preserve">x[golist]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library(rols)</w:t>
      </w:r>
      <w:r>
        <w:br w:type="textWrapping"/>
      </w:r>
      <w:r>
        <w:rPr>
          <w:rStyle w:val="VerbatimChar"/>
        </w:rPr>
        <w:t xml:space="preserve">mplist &lt;- c("MP:0000003","MP:0000005")</w:t>
      </w:r>
      <w:r>
        <w:br w:type="textWrapping"/>
      </w:r>
      <w:r>
        <w:rPr>
          <w:rStyle w:val="VerbatimChar"/>
        </w:rPr>
        <w:t xml:space="preserve">for(i in mplist) print(term("MP",i))</w:t>
      </w:r>
    </w:p>
    <w:p>
      <w:pPr>
        <w:pStyle w:val="FirstParagraph"/>
      </w:pPr>
      <w:r>
        <w:t xml:space="preserve">A pre-prepared table is also available as</w:t>
      </w:r>
      <w:r>
        <w:t xml:space="preserve"> </w:t>
      </w:r>
      <w:hyperlink r:id="rId43">
        <w:r>
          <w:rPr>
            <w:rStyle w:val="Hyperlink"/>
          </w:rPr>
          <w:t xml:space="preserve">id_descrip.txt.gz</w:t>
        </w:r>
      </w:hyperlink>
      <w:r>
        <w:t xml:space="preserve"> </w:t>
      </w:r>
      <w:r>
        <w:t xml:space="preserve">which will be complementary to these.</w:t>
      </w:r>
    </w:p>
    <w:p>
      <w:pPr>
        <w:pStyle w:val="Heading2"/>
      </w:pPr>
      <w:bookmarkStart w:id="44" w:name="acknowledgements"/>
      <w:bookmarkEnd w:id="44"/>
      <w:r>
        <w:t xml:space="preserve">ACKNOWLEDGEMENTS</w:t>
      </w:r>
    </w:p>
    <w:p>
      <w:pPr>
        <w:pStyle w:val="FirstParagraph"/>
      </w:pPr>
      <w:r>
        <w:t xml:space="preserve">The work drives from comparison of software performances using our own GWAS data. The practicality of a common DEPICT database to all software</w:t>
      </w:r>
      <w:r>
        <w:t xml:space="preserve"> </w:t>
      </w:r>
      <w:r>
        <w:t xml:space="preserve">here was due to PASCAL developer(s). At the end of our implementation it came to our attention that similar effort has been made, e.g.,</w:t>
      </w:r>
      <w:r>
        <w:t xml:space="preserve"> </w:t>
      </w:r>
      <w:hyperlink r:id="rId45">
        <w:r>
          <w:rPr>
            <w:rStyle w:val="Hyperlink"/>
          </w:rPr>
          <w:t xml:space="preserve">DEPICT-pipeline</w:t>
        </w:r>
      </w:hyperlink>
      <w:r>
        <w:t xml:space="preserve"> </w:t>
      </w:r>
      <w:r>
        <w:t xml:space="preserve">and other adaptations.</w:t>
      </w:r>
    </w:p>
    <w:p>
      <w:pPr>
        <w:pStyle w:val="Heading2"/>
      </w:pPr>
      <w:bookmarkStart w:id="46" w:name="related-links"/>
      <w:bookmarkEnd w:id="46"/>
      <w:r>
        <w:t xml:space="preserve">RELATED LINKS</w:t>
      </w:r>
    </w:p>
    <w:p>
      <w:pPr>
        <w:pStyle w:val="Compact"/>
        <w:numPr>
          <w:numId w:val="1010"/>
          <w:ilvl w:val="0"/>
        </w:numPr>
      </w:pPr>
      <w:hyperlink r:id="rId47">
        <w:r>
          <w:rPr>
            <w:rStyle w:val="Hyperlink"/>
          </w:rPr>
          <w:t xml:space="preserve">BioGRID</w:t>
        </w:r>
      </w:hyperlink>
      <w:r>
        <w:t xml:space="preserve">: an interaction repository with data compiled through comprehensive curation efforts.</w:t>
      </w:r>
    </w:p>
    <w:p>
      <w:pPr>
        <w:pStyle w:val="Compact"/>
        <w:numPr>
          <w:numId w:val="1010"/>
          <w:ilvl w:val="0"/>
        </w:numPr>
      </w:pPr>
      <w:hyperlink r:id="rId48">
        <w:r>
          <w:rPr>
            <w:rStyle w:val="Hyperlink"/>
          </w:rPr>
          <w:t xml:space="preserve">Osprey</w:t>
        </w:r>
      </w:hyperlink>
      <w:r>
        <w:t xml:space="preserve">: Network Visualization System.</w:t>
      </w:r>
    </w:p>
    <w:p>
      <w:pPr>
        <w:pStyle w:val="Compact"/>
        <w:numPr>
          <w:numId w:val="1010"/>
          <w:ilvl w:val="0"/>
        </w:numPr>
      </w:pPr>
      <w:hyperlink r:id="rId49">
        <w:r>
          <w:rPr>
            <w:rStyle w:val="Hyperlink"/>
          </w:rPr>
          <w:t xml:space="preserve">GeneMANIA</w:t>
        </w:r>
      </w:hyperlink>
      <w:r>
        <w:t xml:space="preserve">: Imports interaction networks from public databases from a list of genes with their annotations and putative functions.</w:t>
      </w:r>
    </w:p>
    <w:p>
      <w:pPr>
        <w:pStyle w:val="Compact"/>
        <w:numPr>
          <w:numId w:val="1010"/>
          <w:ilvl w:val="0"/>
        </w:numPr>
      </w:pPr>
      <w:hyperlink r:id="rId50">
        <w:r>
          <w:rPr>
            <w:rStyle w:val="Hyperlink"/>
          </w:rPr>
          <w:t xml:space="preserve">VisANT</w:t>
        </w:r>
      </w:hyperlink>
      <w:r>
        <w:t xml:space="preserve">: Visual analyses of metabolic networks in cells and ecosystems.</w:t>
      </w:r>
    </w:p>
    <w:p>
      <w:pPr>
        <w:pStyle w:val="Heading2"/>
      </w:pPr>
      <w:bookmarkStart w:id="51" w:name="software-and-references"/>
      <w:bookmarkEnd w:id="51"/>
      <w:r>
        <w:t xml:space="preserve">SOFTWARE AND REFERENCES</w:t>
      </w:r>
    </w:p>
    <w:p>
      <w:pPr>
        <w:pStyle w:val="FirstParagraph"/>
      </w:pPr>
      <w:hyperlink r:id="rId52">
        <w:r>
          <w:rPr>
            <w:rStyle w:val="Hyperlink"/>
          </w:rPr>
          <w:t xml:space="preserve">DEPICT</w:t>
        </w:r>
      </w:hyperlink>
      <w:r>
        <w:t xml:space="preserve"> </w:t>
      </w:r>
      <w:r>
        <w:t xml:space="preserve">(</w:t>
      </w:r>
      <w:hyperlink r:id="rId53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BodyText"/>
      </w:pPr>
      <w:r>
        <w:t xml:space="preserve">Pers TH et al.(2015) Biological interpretation of genome-wide association studies using predicted gene functions. Nat Commun. 6:5890. doi: 10.1038/ncomms6890.</w:t>
      </w:r>
    </w:p>
    <w:p>
      <w:pPr>
        <w:pStyle w:val="BodyText"/>
      </w:pPr>
      <w:hyperlink r:id="rId54">
        <w:r>
          <w:rPr>
            <w:rStyle w:val="Hyperlink"/>
          </w:rPr>
          <w:t xml:space="preserve">MAGENTA</w:t>
        </w:r>
      </w:hyperlink>
    </w:p>
    <w:p>
      <w:pPr>
        <w:pStyle w:val="BodyText"/>
      </w:pPr>
      <w:r>
        <w:t xml:space="preserve">Segre AV, et al (2010). Common Inherited Variation in Mitochondrial Genes Is Not Enriched for Associations with Type 2 Diabetes or Related Glycemic Traits. PLoS</w:t>
      </w:r>
      <w:r>
        <w:t xml:space="preserve"> </w:t>
      </w:r>
      <w:r>
        <w:t xml:space="preserve">Genet. 12;6(8). pii: e1001058. doi: 10.1371/journal.pgen.1001058</w:t>
      </w:r>
    </w:p>
    <w:p>
      <w:pPr>
        <w:pStyle w:val="BodyText"/>
      </w:pPr>
      <w:hyperlink r:id="rId55">
        <w:r>
          <w:rPr>
            <w:rStyle w:val="Hyperlink"/>
          </w:rPr>
          <w:t xml:space="preserve">MAGMA</w:t>
        </w:r>
      </w:hyperlink>
    </w:p>
    <w:p>
      <w:pPr>
        <w:pStyle w:val="BodyText"/>
      </w:pPr>
      <w:r>
        <w:t xml:space="preserve">de Leeuw C, et al. (2015) MAGMA: Generalized Gene-Set Analysis of GWAS Data. PLoS Comput Biol. 11(4): e1004219. doi: 10.1371/journal.pcbi.1004219</w:t>
      </w:r>
    </w:p>
    <w:p>
      <w:pPr>
        <w:pStyle w:val="BodyText"/>
      </w:pPr>
      <w:hyperlink r:id="rId56">
        <w:r>
          <w:rPr>
            <w:rStyle w:val="Hyperlink"/>
          </w:rPr>
          <w:t xml:space="preserve">PASCAL</w:t>
        </w:r>
      </w:hyperlink>
      <w:r>
        <w:t xml:space="preserve"> </w:t>
      </w:r>
      <w:r>
        <w:t xml:space="preserve">(</w:t>
      </w:r>
      <w:hyperlink r:id="rId57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BodyText"/>
      </w:pPr>
      <w:r>
        <w:t xml:space="preserve">Lamparter D, et al. (2016) Fast and Rigorous Computation of Gene and Pathway Scores from SNP-Based Summary Statistics. PLoS Comput Biol. 2016 Jan 25;12(1):e1004714.</w:t>
      </w:r>
      <w:r>
        <w:t xml:space="preserve"> </w:t>
      </w:r>
      <w:r>
        <w:t xml:space="preserve">doi: 10.1371/journal.pcbi.1004714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05f0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b1bc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b5e0d5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dce425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e7c7bb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43" Target="files/id_descrip.txt.gz" TargetMode="External" /><Relationship Type="http://schemas.openxmlformats.org/officeDocument/2006/relationships/hyperlink" Id="rId40" Target="files/network.sh" TargetMode="External" /><Relationship Type="http://schemas.openxmlformats.org/officeDocument/2006/relationships/hyperlink" Id="rId37" Target="files/network_plot.py" TargetMode="External" /><Relationship Type="http://schemas.openxmlformats.org/officeDocument/2006/relationships/hyperlink" Id="rId55" Target="http://ctg.cncr.nl/software/magma" TargetMode="External" /><Relationship Type="http://schemas.openxmlformats.org/officeDocument/2006/relationships/hyperlink" Id="rId49" Target="http://genemania.org/" TargetMode="External" /><Relationship Type="http://schemas.openxmlformats.org/officeDocument/2006/relationships/hyperlink" Id="rId50" Target="http://visant.bu.edu/" TargetMode="External" /><Relationship Type="http://schemas.openxmlformats.org/officeDocument/2006/relationships/hyperlink" Id="rId24" Target="http://www.cytoscape.org/" TargetMode="External" /><Relationship Type="http://schemas.openxmlformats.org/officeDocument/2006/relationships/hyperlink" Id="rId56" Target="http://www2.unil.ch/cbg/images/3/3d/PASCAL.zip" TargetMode="External" /><Relationship Type="http://schemas.openxmlformats.org/officeDocument/2006/relationships/hyperlink" Id="rId52" Target="https://data.broadinstitute.org/mpg/depict/" TargetMode="External" /><Relationship Type="http://schemas.openxmlformats.org/officeDocument/2006/relationships/hyperlink" Id="rId42" Target="https://data.broadinstitute.org/mpg/depict/depict_download/reconstituted_genesets/GPL570-GPL96-GPL1261-GPL1355TermGeneZScores-MGI_MF_CC_RT_IW_BP_KEGG_z_z.txt.gz" TargetMode="External" /><Relationship Type="http://schemas.openxmlformats.org/officeDocument/2006/relationships/hyperlink" Id="rId30" Target="https://en.wikipedia.org/wiki/Oracle_Grid_Engine" TargetMode="External" /><Relationship Type="http://schemas.openxmlformats.org/officeDocument/2006/relationships/hyperlink" Id="rId23" Target="https://gephi.org/" TargetMode="External" /><Relationship Type="http://schemas.openxmlformats.org/officeDocument/2006/relationships/hyperlink" Id="rId45" Target="https://github.com/RebeccaFine/DEPICT-pipeline" TargetMode="External" /><Relationship Type="http://schemas.openxmlformats.org/officeDocument/2006/relationships/hyperlink" Id="rId57" Target="https://github.com/dlampart/Pascal" TargetMode="External" /><Relationship Type="http://schemas.openxmlformats.org/officeDocument/2006/relationships/hyperlink" Id="rId35" Target="https://github.com/jinghuazhao/SUMSTATS" TargetMode="External" /><Relationship Type="http://schemas.openxmlformats.org/officeDocument/2006/relationships/hyperlink" Id="rId53" Target="https://github.com/perslab/depict" TargetMode="External" /><Relationship Type="http://schemas.openxmlformats.org/officeDocument/2006/relationships/hyperlink" Id="rId48" Target="https://osprey.thebiogrid.org/" TargetMode="External" /><Relationship Type="http://schemas.openxmlformats.org/officeDocument/2006/relationships/hyperlink" Id="rId54" Target="https://software.broadinstitute.org/mpg/magenta/" TargetMode="External" /><Relationship Type="http://schemas.openxmlformats.org/officeDocument/2006/relationships/hyperlink" Id="rId47" Target="https://thebiogrid.org/" TargetMode="External" /><Relationship Type="http://schemas.openxmlformats.org/officeDocument/2006/relationships/hyperlink" Id="rId31" Target="https://www.gnu.org/software/parallel/" TargetMode="External" /><Relationship Type="http://schemas.openxmlformats.org/officeDocument/2006/relationships/hyperlink" Id="rId29" Target="https://www.imagemagick.org/" TargetMode="External" /><Relationship Type="http://schemas.openxmlformats.org/officeDocument/2006/relationships/hyperlink" Id="rId27" Target="https://www.mathworks.com/products/matlab.html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8" Target="https://www.xpdfread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files/id_descrip.txt.gz" TargetMode="External" /><Relationship Type="http://schemas.openxmlformats.org/officeDocument/2006/relationships/hyperlink" Id="rId40" Target="files/network.sh" TargetMode="External" /><Relationship Type="http://schemas.openxmlformats.org/officeDocument/2006/relationships/hyperlink" Id="rId37" Target="files/network_plot.py" TargetMode="External" /><Relationship Type="http://schemas.openxmlformats.org/officeDocument/2006/relationships/hyperlink" Id="rId55" Target="http://ctg.cncr.nl/software/magma" TargetMode="External" /><Relationship Type="http://schemas.openxmlformats.org/officeDocument/2006/relationships/hyperlink" Id="rId49" Target="http://genemania.org/" TargetMode="External" /><Relationship Type="http://schemas.openxmlformats.org/officeDocument/2006/relationships/hyperlink" Id="rId50" Target="http://visant.bu.edu/" TargetMode="External" /><Relationship Type="http://schemas.openxmlformats.org/officeDocument/2006/relationships/hyperlink" Id="rId24" Target="http://www.cytoscape.org/" TargetMode="External" /><Relationship Type="http://schemas.openxmlformats.org/officeDocument/2006/relationships/hyperlink" Id="rId56" Target="http://www2.unil.ch/cbg/images/3/3d/PASCAL.zip" TargetMode="External" /><Relationship Type="http://schemas.openxmlformats.org/officeDocument/2006/relationships/hyperlink" Id="rId52" Target="https://data.broadinstitute.org/mpg/depict/" TargetMode="External" /><Relationship Type="http://schemas.openxmlformats.org/officeDocument/2006/relationships/hyperlink" Id="rId42" Target="https://data.broadinstitute.org/mpg/depict/depict_download/reconstituted_genesets/GPL570-GPL96-GPL1261-GPL1355TermGeneZScores-MGI_MF_CC_RT_IW_BP_KEGG_z_z.txt.gz" TargetMode="External" /><Relationship Type="http://schemas.openxmlformats.org/officeDocument/2006/relationships/hyperlink" Id="rId30" Target="https://en.wikipedia.org/wiki/Oracle_Grid_Engine" TargetMode="External" /><Relationship Type="http://schemas.openxmlformats.org/officeDocument/2006/relationships/hyperlink" Id="rId23" Target="https://gephi.org/" TargetMode="External" /><Relationship Type="http://schemas.openxmlformats.org/officeDocument/2006/relationships/hyperlink" Id="rId45" Target="https://github.com/RebeccaFine/DEPICT-pipeline" TargetMode="External" /><Relationship Type="http://schemas.openxmlformats.org/officeDocument/2006/relationships/hyperlink" Id="rId57" Target="https://github.com/dlampart/Pascal" TargetMode="External" /><Relationship Type="http://schemas.openxmlformats.org/officeDocument/2006/relationships/hyperlink" Id="rId35" Target="https://github.com/jinghuazhao/SUMSTATS" TargetMode="External" /><Relationship Type="http://schemas.openxmlformats.org/officeDocument/2006/relationships/hyperlink" Id="rId53" Target="https://github.com/perslab/depict" TargetMode="External" /><Relationship Type="http://schemas.openxmlformats.org/officeDocument/2006/relationships/hyperlink" Id="rId48" Target="https://osprey.thebiogrid.org/" TargetMode="External" /><Relationship Type="http://schemas.openxmlformats.org/officeDocument/2006/relationships/hyperlink" Id="rId54" Target="https://software.broadinstitute.org/mpg/magenta/" TargetMode="External" /><Relationship Type="http://schemas.openxmlformats.org/officeDocument/2006/relationships/hyperlink" Id="rId47" Target="https://thebiogrid.org/" TargetMode="External" /><Relationship Type="http://schemas.openxmlformats.org/officeDocument/2006/relationships/hyperlink" Id="rId31" Target="https://www.gnu.org/software/parallel/" TargetMode="External" /><Relationship Type="http://schemas.openxmlformats.org/officeDocument/2006/relationships/hyperlink" Id="rId29" Target="https://www.imagemagick.org/" TargetMode="External" /><Relationship Type="http://schemas.openxmlformats.org/officeDocument/2006/relationships/hyperlink" Id="rId27" Target="https://www.mathworks.com/products/matlab.html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8" Target="https://www.xpdfread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2018-05-30T19:23:27Z</dcterms:created>
  <dcterms:modified xsi:type="dcterms:W3CDTF">2018-05-30T19:23:27Z</dcterms:modified>
</cp:coreProperties>
</file>