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r w:rsidR="000E2256" w:rsidRPr="00BB6FC5">
        <w:rPr>
          <w:rFonts w:ascii="Arial" w:hAnsi="Arial" w:cs="Arial"/>
          <w:szCs w:val="24"/>
        </w:rPr>
        <w:t>genomewide association studies (GWASs</w:t>
      </w:r>
      <w:r w:rsidR="00610B32">
        <w:rPr>
          <w:rFonts w:ascii="Arial" w:hAnsi="Arial" w:cs="Arial"/>
          <w:szCs w:val="24"/>
        </w:rPr>
        <w:t>). The most recent is proteogenomics</w:t>
      </w:r>
      <w:r w:rsidR="000E2256" w:rsidRPr="00BB6FC5">
        <w:rPr>
          <w:rFonts w:ascii="Arial" w:hAnsi="Arial" w:cs="Arial"/>
          <w:szCs w:val="24"/>
        </w:rPr>
        <w:t xml:space="preserve"> within the SCALLOP consortium using the Olink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SCALLOP-Seq(uence</w:t>
      </w:r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210051A8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r>
        <w:rPr>
          <w:rFonts w:ascii="Arial" w:hAnsi="Arial" w:cs="Arial"/>
          <w:szCs w:val="24"/>
        </w:rPr>
        <w:t>pQTLtools</w:t>
      </w:r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r w:rsidR="00F15DE0">
        <w:rPr>
          <w:rFonts w:ascii="Arial" w:hAnsi="Arial" w:cs="Arial"/>
          <w:szCs w:val="24"/>
        </w:rPr>
        <w:t xml:space="preserve">BitNet, </w:t>
      </w:r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r w:rsidR="00AC3D29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Ollama, llama.cpp, </w:t>
      </w:r>
      <w:r w:rsidR="00F15DE0">
        <w:rPr>
          <w:rFonts w:ascii="Arial" w:hAnsi="Arial" w:cs="Arial"/>
          <w:szCs w:val="24"/>
        </w:rPr>
        <w:t xml:space="preserve">llm,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>AI for MS data with InstaNovo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DrugAssist, single-cell omics with Seurat, </w:t>
      </w:r>
      <w:r w:rsidR="00260744">
        <w:rPr>
          <w:rFonts w:ascii="Arial" w:hAnsi="Arial" w:cs="Arial"/>
        </w:rPr>
        <w:t xml:space="preserve">scp, </w:t>
      </w:r>
      <w:r>
        <w:rPr>
          <w:rFonts w:ascii="Arial" w:hAnsi="Arial" w:cs="Arial"/>
        </w:rPr>
        <w:t xml:space="preserve">scanpy, scvi-tools, </w:t>
      </w:r>
      <w:r w:rsidR="00416D21">
        <w:rPr>
          <w:rFonts w:ascii="Arial" w:hAnsi="Arial" w:cs="Arial"/>
        </w:rPr>
        <w:t>scGPT</w:t>
      </w:r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>mtDNA analysis with MToolBox</w:t>
      </w:r>
      <w:r w:rsidR="007115DE">
        <w:rPr>
          <w:rFonts w:ascii="Arial" w:hAnsi="Arial" w:cs="Arial"/>
        </w:rPr>
        <w:t xml:space="preserve">, </w:t>
      </w:r>
      <w:r w:rsidR="00AF2391">
        <w:rPr>
          <w:rFonts w:ascii="Arial" w:hAnsi="Arial" w:cs="Arial"/>
        </w:rPr>
        <w:t xml:space="preserve">fNUMT, </w:t>
      </w:r>
      <w:r w:rsidR="007115DE">
        <w:rPr>
          <w:rFonts w:ascii="Arial" w:hAnsi="Arial" w:cs="Arial"/>
        </w:rPr>
        <w:t>haplogrep</w:t>
      </w:r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r w:rsidR="00C564A3">
        <w:rPr>
          <w:rFonts w:ascii="Arial" w:hAnsi="Arial" w:cs="Arial"/>
        </w:rPr>
        <w:t xml:space="preserve">SVanalyzer,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truvari</w:t>
      </w:r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>opulation genetics include selscan, angsd,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PyTorch,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r w:rsidR="002A41A3">
        <w:rPr>
          <w:rFonts w:ascii="Arial" w:hAnsi="Arial" w:cs="Arial"/>
        </w:rPr>
        <w:t>llm</w:t>
      </w:r>
      <w:r w:rsidR="00B132B2">
        <w:rPr>
          <w:rFonts w:ascii="Arial" w:hAnsi="Arial" w:cs="Arial"/>
        </w:rPr>
        <w:t xml:space="preserve">, </w:t>
      </w:r>
      <w:r w:rsidR="00E64457">
        <w:rPr>
          <w:rFonts w:ascii="Arial" w:hAnsi="Arial" w:cs="Arial"/>
        </w:rPr>
        <w:t>LangChain</w:t>
      </w:r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pQTLs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human genetic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Cs/>
          <w:szCs w:val="24"/>
          <w:lang w:eastAsia="zh-CN"/>
        </w:rPr>
        <w:t>doi: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doi</w:t>
      </w:r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r w:rsidRPr="00D317C3">
        <w:rPr>
          <w:rFonts w:ascii="Arial" w:hAnsi="Arial" w:cs="Arial"/>
          <w:i/>
          <w:szCs w:val="24"/>
        </w:rPr>
        <w:t>PLoS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r w:rsidR="00F9365A" w:rsidRPr="00D317C3">
        <w:rPr>
          <w:rFonts w:ascii="Arial" w:hAnsi="Arial" w:cs="Arial"/>
          <w:szCs w:val="24"/>
        </w:rPr>
        <w:t xml:space="preserve">doi: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NewRomanPSMT" w:hAnsi="Arial" w:cs="Arial"/>
          <w:szCs w:val="24"/>
          <w:lang w:eastAsia="zh-CN"/>
        </w:rPr>
        <w:t xml:space="preserve">Demenais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>102(3):375-400. doi: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Pr="00D317C3">
        <w:rPr>
          <w:rFonts w:ascii="Arial" w:hAnsi="Arial" w:cs="Arial"/>
          <w:iCs/>
          <w:szCs w:val="24"/>
          <w:lang w:eastAsia="zh-CN"/>
        </w:rPr>
        <w:t>doi: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r w:rsidRPr="00D317C3">
        <w:rPr>
          <w:rFonts w:ascii="Arial" w:hAnsi="Arial" w:cs="Arial"/>
          <w:i/>
          <w:szCs w:val="24"/>
        </w:rPr>
        <w:t>PLoS One</w:t>
      </w:r>
      <w:r w:rsidRPr="00D317C3">
        <w:rPr>
          <w:rFonts w:ascii="Arial" w:hAnsi="Arial" w:cs="Arial"/>
          <w:szCs w:val="24"/>
        </w:rPr>
        <w:t xml:space="preserve"> 2018, 13(6):e0198166. doi: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103(5):691-706. doi: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doi: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doi: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incorporatinggene–smoking interactions identifies multiple new locifor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doi: 10.1093/hmg/ddz070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>Associations of autozygosity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randomisation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doi: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Cuellar-Partide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Behaviour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randomisation highlights hypothyroidism as a causal determinant of idiopathic pulmonary fibrosis. </w:t>
      </w:r>
      <w:r w:rsidRPr="00D317C3">
        <w:rPr>
          <w:rFonts w:ascii="Arial" w:eastAsia="Times New Roman" w:hAnsi="Arial" w:cs="Arial"/>
          <w:i/>
          <w:szCs w:val="24"/>
        </w:rPr>
        <w:t>EBiomed</w:t>
      </w:r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>(8):1366-1387. doi: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lastRenderedPageBreak/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r w:rsidRPr="00D317C3">
        <w:rPr>
          <w:rFonts w:ascii="Arial" w:hAnsi="Arial" w:cs="Arial"/>
          <w:color w:val="000000"/>
          <w:szCs w:val="24"/>
        </w:rPr>
        <w:t xml:space="preserve">medRxiv,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pQTLs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r w:rsidRPr="00323341">
        <w:rPr>
          <w:rFonts w:ascii="Arial" w:hAnsi="Arial" w:cs="Arial"/>
          <w:i/>
          <w:iCs/>
          <w:szCs w:val="24"/>
        </w:rPr>
        <w:t>medRxiv</w:t>
      </w:r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>Mendelian randomisation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r w:rsidRPr="00323341">
        <w:rPr>
          <w:rFonts w:ascii="Arial" w:hAnsi="Arial" w:cs="Arial"/>
          <w:i/>
          <w:iCs/>
          <w:szCs w:val="24"/>
        </w:rPr>
        <w:t>medRxiv</w:t>
      </w:r>
      <w:r w:rsidRPr="00571703">
        <w:rPr>
          <w:rFonts w:ascii="Arial" w:hAnsi="Arial" w:cs="Arial"/>
          <w:szCs w:val="24"/>
        </w:rPr>
        <w:t xml:space="preserve">, </w:t>
      </w:r>
      <w:r w:rsidRPr="00B93FDC">
        <w:rPr>
          <w:rFonts w:ascii="Arial" w:hAnsi="Arial" w:cs="Arial"/>
          <w:bCs/>
        </w:rPr>
        <w:t>doi: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BD0773">
        <w:rPr>
          <w:rFonts w:ascii="Arial" w:hAnsi="Arial" w:cs="Arial"/>
          <w:szCs w:val="24"/>
        </w:rPr>
        <w:t xml:space="preserve">Koprulu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3E38D" w14:textId="77777777" w:rsidR="00637B63" w:rsidRDefault="00637B63">
      <w:r>
        <w:separator/>
      </w:r>
    </w:p>
  </w:endnote>
  <w:endnote w:type="continuationSeparator" w:id="0">
    <w:p w14:paraId="107B230A" w14:textId="77777777" w:rsidR="00637B63" w:rsidRDefault="00637B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A16A8" w14:textId="77777777" w:rsidR="00637B63" w:rsidRDefault="00637B63">
      <w:r>
        <w:separator/>
      </w:r>
    </w:p>
  </w:footnote>
  <w:footnote w:type="continuationSeparator" w:id="0">
    <w:p w14:paraId="2BC578D1" w14:textId="77777777" w:rsidR="00637B63" w:rsidRDefault="00637B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1892</Words>
  <Characters>10788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100</cp:revision>
  <cp:lastPrinted>2026-01-27T11:38:00Z</cp:lastPrinted>
  <dcterms:created xsi:type="dcterms:W3CDTF">2024-11-29T19:13:00Z</dcterms:created>
  <dcterms:modified xsi:type="dcterms:W3CDTF">2026-01-27T12:05:00Z</dcterms:modified>
</cp:coreProperties>
</file>