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Victor Phillip Dahdaleh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30A2650F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087FE44D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</w:t>
      </w:r>
      <w:r>
        <w:rPr>
          <w:rFonts w:ascii="Arial" w:hAnsi="Arial" w:cs="Arial"/>
          <w:szCs w:val="24"/>
        </w:rPr>
        <w:t>human health-related research</w:t>
      </w:r>
      <w:r w:rsidR="00610B32">
        <w:rPr>
          <w:rFonts w:ascii="Arial" w:hAnsi="Arial" w:cs="Arial"/>
          <w:szCs w:val="24"/>
        </w:rPr>
        <w:t xml:space="preserve">, which over years include </w:t>
      </w:r>
      <w:r w:rsidRPr="00BB6FC5">
        <w:rPr>
          <w:rFonts w:ascii="Arial" w:hAnsi="Arial" w:cs="Arial"/>
          <w:szCs w:val="24"/>
        </w:rPr>
        <w:t>familial aggregation, segregation analysis, candidate genes</w:t>
      </w:r>
      <w:r w:rsidR="00610B32">
        <w:rPr>
          <w:rFonts w:ascii="Arial" w:hAnsi="Arial" w:cs="Arial"/>
          <w:szCs w:val="24"/>
        </w:rPr>
        <w:t xml:space="preserve">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</w:t>
      </w:r>
      <w:r w:rsidR="00610B32">
        <w:rPr>
          <w:rFonts w:ascii="Arial" w:hAnsi="Arial" w:cs="Arial"/>
          <w:szCs w:val="24"/>
        </w:rPr>
        <w:t xml:space="preserve">). The most recent work is </w:t>
      </w:r>
      <w:proofErr w:type="spellStart"/>
      <w:r w:rsidR="00610B32">
        <w:rPr>
          <w:rFonts w:ascii="Arial" w:hAnsi="Arial" w:cs="Arial"/>
          <w:szCs w:val="24"/>
        </w:rPr>
        <w:t>proteogenomics</w:t>
      </w:r>
      <w:proofErr w:type="spellEnd"/>
      <w:r w:rsidRPr="00BB6FC5">
        <w:rPr>
          <w:rFonts w:ascii="Arial" w:hAnsi="Arial" w:cs="Arial"/>
          <w:szCs w:val="24"/>
        </w:rPr>
        <w:t xml:space="preserve">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 xml:space="preserve">VAL samples. I have led collaborative </w:t>
      </w:r>
      <w:r w:rsidR="00610B32">
        <w:rPr>
          <w:rFonts w:ascii="Arial" w:hAnsi="Arial" w:cs="Arial"/>
          <w:szCs w:val="24"/>
        </w:rPr>
        <w:t xml:space="preserve">analysis to </w:t>
      </w:r>
      <w:r w:rsidR="00DB70EB" w:rsidRPr="00BB6FC5">
        <w:rPr>
          <w:rFonts w:ascii="Arial" w:hAnsi="Arial" w:cs="Arial"/>
          <w:szCs w:val="24"/>
        </w:rPr>
        <w:t>the SCALLOP-Seq(</w:t>
      </w:r>
      <w:proofErr w:type="spellStart"/>
      <w:r w:rsidR="00DB70EB" w:rsidRPr="00BB6FC5">
        <w:rPr>
          <w:rFonts w:ascii="Arial" w:hAnsi="Arial" w:cs="Arial"/>
          <w:szCs w:val="24"/>
        </w:rPr>
        <w:t>uence</w:t>
      </w:r>
      <w:proofErr w:type="spellEnd"/>
      <w:r w:rsidR="00DB70EB">
        <w:rPr>
          <w:rFonts w:ascii="Arial" w:hAnsi="Arial" w:cs="Arial"/>
          <w:szCs w:val="24"/>
        </w:rPr>
        <w:t>, both WES and NGS</w:t>
      </w:r>
      <w:r w:rsidR="00DB70EB" w:rsidRPr="00BB6FC5">
        <w:rPr>
          <w:rFonts w:ascii="Arial" w:hAnsi="Arial" w:cs="Arial"/>
          <w:szCs w:val="24"/>
        </w:rPr>
        <w:t xml:space="preserve">) consortium </w:t>
      </w:r>
      <w:r w:rsidR="00DB70EB">
        <w:rPr>
          <w:rFonts w:ascii="Arial" w:hAnsi="Arial" w:cs="Arial"/>
          <w:szCs w:val="24"/>
        </w:rPr>
        <w:t xml:space="preserve">and </w:t>
      </w:r>
      <w:r w:rsidRPr="00BB6FC5">
        <w:rPr>
          <w:rFonts w:ascii="Arial" w:hAnsi="Arial" w:cs="Arial"/>
          <w:szCs w:val="24"/>
        </w:rPr>
        <w:t>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Initiative.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1CCE2947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 xml:space="preserve">I have promoted reproducible research </w:t>
      </w:r>
      <w:r w:rsidR="00610B32">
        <w:rPr>
          <w:rFonts w:ascii="Arial" w:hAnsi="Arial" w:cs="Arial"/>
          <w:szCs w:val="24"/>
        </w:rPr>
        <w:t>through</w:t>
      </w:r>
      <w:r w:rsidRPr="00BB6FC5">
        <w:rPr>
          <w:rFonts w:ascii="Arial" w:hAnsi="Arial" w:cs="Arial"/>
          <w:szCs w:val="24"/>
        </w:rPr>
        <w:t xml:space="preserve"> CRAN (https://cran.r-project.org)</w:t>
      </w:r>
      <w:r w:rsidR="00610B32">
        <w:rPr>
          <w:rFonts w:ascii="Arial" w:hAnsi="Arial" w:cs="Arial"/>
          <w:szCs w:val="24"/>
        </w:rPr>
        <w:t>,</w:t>
      </w:r>
      <w:r w:rsidRPr="00BB6FC5">
        <w:rPr>
          <w:rFonts w:ascii="Arial" w:hAnsi="Arial" w:cs="Arial"/>
          <w:szCs w:val="24"/>
        </w:rPr>
        <w:t xml:space="preserve"> GitHub (https://github.com) and</w:t>
      </w:r>
      <w:r w:rsidR="00900438">
        <w:rPr>
          <w:rFonts w:ascii="Arial" w:hAnsi="Arial" w:cs="Arial"/>
          <w:szCs w:val="24"/>
        </w:rPr>
        <w:t xml:space="preserve"> websites</w:t>
      </w:r>
      <w:r w:rsidR="00610B32"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</w:t>
      </w:r>
      <w:r w:rsidR="008A5772">
        <w:rPr>
          <w:rFonts w:ascii="Arial" w:hAnsi="Arial" w:cs="Arial"/>
          <w:szCs w:val="24"/>
        </w:rPr>
        <w:t xml:space="preserve"> with curations such as </w:t>
      </w:r>
      <w:r w:rsidR="008A5772" w:rsidRPr="00AA20F5">
        <w:rPr>
          <w:rFonts w:ascii="Arial" w:hAnsi="Arial" w:cs="Arial"/>
          <w:szCs w:val="24"/>
        </w:rPr>
        <w:t>https://jinghuazhao.github.io/Computational-Statistics/</w:t>
      </w:r>
      <w:r w:rsidR="008A5772">
        <w:rPr>
          <w:rFonts w:ascii="Arial" w:hAnsi="Arial" w:cs="Arial"/>
          <w:szCs w:val="24"/>
        </w:rPr>
        <w:t xml:space="preserve">, </w:t>
      </w:r>
      <w:r w:rsidR="008A5772" w:rsidRPr="00F21346">
        <w:rPr>
          <w:rFonts w:ascii="Arial" w:hAnsi="Arial" w:cs="Arial"/>
          <w:szCs w:val="24"/>
        </w:rPr>
        <w:t>https://jinghuazhao.github.io/software-notes/</w:t>
      </w:r>
      <w:r w:rsidR="008A5772">
        <w:rPr>
          <w:rFonts w:ascii="Arial" w:hAnsi="Arial" w:cs="Arial"/>
          <w:szCs w:val="24"/>
        </w:rPr>
        <w:t xml:space="preserve"> and </w:t>
      </w:r>
      <w:r w:rsidR="008A5772" w:rsidRPr="006A4A8E">
        <w:rPr>
          <w:rFonts w:ascii="Arial" w:hAnsi="Arial" w:cs="Arial"/>
          <w:szCs w:val="24"/>
        </w:rPr>
        <w:t>https://jinghuazhao.github.io/Omics-analysis/</w:t>
      </w:r>
      <w:r w:rsidR="008A5772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I developed genetic analysis package (gap)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</w:t>
      </w:r>
      <w:r w:rsidR="00610B32">
        <w:rPr>
          <w:rFonts w:ascii="Arial" w:hAnsi="Arial" w:cs="Arial"/>
          <w:szCs w:val="24"/>
        </w:rPr>
        <w:t>ke</w:t>
      </w:r>
      <w:r w:rsidR="00DC558B">
        <w:rPr>
          <w:rFonts w:ascii="Arial" w:hAnsi="Arial" w:cs="Arial"/>
          <w:szCs w:val="24"/>
        </w:rPr>
        <w:t>p</w:t>
      </w:r>
      <w:r w:rsidR="00900438">
        <w:rPr>
          <w:rFonts w:ascii="Arial" w:hAnsi="Arial" w:cs="Arial"/>
          <w:szCs w:val="24"/>
        </w:rPr>
        <w:t>t</w:t>
      </w:r>
      <w:r w:rsidR="00610B32">
        <w:rPr>
          <w:rFonts w:ascii="Arial" w:hAnsi="Arial" w:cs="Arial"/>
          <w:szCs w:val="24"/>
        </w:rPr>
        <w:t xml:space="preserve"> up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>to</w:t>
      </w:r>
      <w:r w:rsidR="00900438">
        <w:rPr>
          <w:rFonts w:ascii="Arial" w:hAnsi="Arial" w:cs="Arial"/>
          <w:szCs w:val="24"/>
        </w:rPr>
        <w:t xml:space="preserve"> </w:t>
      </w:r>
      <w:r w:rsidR="00610B32">
        <w:rPr>
          <w:rFonts w:ascii="Arial" w:hAnsi="Arial" w:cs="Arial"/>
          <w:szCs w:val="24"/>
        </w:rPr>
        <w:t xml:space="preserve">date </w:t>
      </w:r>
      <w:r>
        <w:rPr>
          <w:rFonts w:ascii="Arial" w:hAnsi="Arial" w:cs="Arial"/>
          <w:szCs w:val="24"/>
        </w:rPr>
        <w:t>development in computational statistics, machine learning and artificial intelligence</w:t>
      </w:r>
      <w:r w:rsidR="00556B89">
        <w:rPr>
          <w:rFonts w:ascii="Arial" w:hAnsi="Arial" w:cs="Arial"/>
          <w:szCs w:val="24"/>
        </w:rPr>
        <w:t xml:space="preserve">, making </w:t>
      </w:r>
      <w:r w:rsidR="00900438">
        <w:rPr>
          <w:rFonts w:ascii="Arial" w:hAnsi="Arial" w:cs="Arial"/>
          <w:szCs w:val="24"/>
        </w:rPr>
        <w:t xml:space="preserve">computing and omics analysis tools available from the University HPC, </w:t>
      </w:r>
      <w:r w:rsidR="00900438" w:rsidRPr="00C759F7">
        <w:rPr>
          <w:rFonts w:ascii="Arial" w:hAnsi="Arial" w:cs="Arial"/>
          <w:szCs w:val="24"/>
        </w:rPr>
        <w:t>https://cambridge-ceu.github.io/csd3/</w:t>
      </w:r>
      <w:r w:rsidR="008A5772">
        <w:rPr>
          <w:rFonts w:ascii="Arial" w:hAnsi="Arial" w:cs="Arial"/>
          <w:szCs w:val="24"/>
        </w:rPr>
        <w:t>, whose</w:t>
      </w:r>
      <w:r w:rsidR="00900438">
        <w:rPr>
          <w:rFonts w:ascii="Arial" w:hAnsi="Arial" w:cs="Arial"/>
          <w:szCs w:val="24"/>
        </w:rPr>
        <w:t xml:space="preserve"> </w:t>
      </w:r>
      <w:r w:rsidR="00556B89">
        <w:rPr>
          <w:rFonts w:ascii="Arial" w:hAnsi="Arial" w:cs="Arial"/>
          <w:szCs w:val="24"/>
        </w:rPr>
        <w:t>AI</w:t>
      </w:r>
      <w:r w:rsidR="00900438">
        <w:rPr>
          <w:rFonts w:ascii="Arial" w:hAnsi="Arial" w:cs="Arial"/>
          <w:szCs w:val="24"/>
        </w:rPr>
        <w:t xml:space="preserve"> counterparts include </w:t>
      </w:r>
      <w:proofErr w:type="spellStart"/>
      <w:r w:rsidR="00556B89">
        <w:rPr>
          <w:rFonts w:ascii="Arial" w:hAnsi="Arial" w:cs="Arial"/>
          <w:szCs w:val="24"/>
        </w:rPr>
        <w:t>Ollama</w:t>
      </w:r>
      <w:proofErr w:type="spellEnd"/>
      <w:r w:rsidR="00556B89">
        <w:rPr>
          <w:rFonts w:ascii="Arial" w:hAnsi="Arial" w:cs="Arial"/>
          <w:szCs w:val="24"/>
        </w:rPr>
        <w:t xml:space="preserve">, llama.cpp, </w:t>
      </w:r>
      <w:proofErr w:type="spellStart"/>
      <w:r w:rsidR="00556B89">
        <w:rPr>
          <w:rFonts w:ascii="Arial" w:hAnsi="Arial" w:cs="Arial"/>
          <w:szCs w:val="24"/>
        </w:rPr>
        <w:t>BitNet</w:t>
      </w:r>
      <w:proofErr w:type="spellEnd"/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single-cell omics coupled with Seurat, </w:t>
      </w:r>
      <w:proofErr w:type="spellStart"/>
      <w:r w:rsidR="00260744">
        <w:rPr>
          <w:rFonts w:ascii="Arial" w:hAnsi="Arial" w:cs="Arial"/>
        </w:rPr>
        <w:t>scp</w:t>
      </w:r>
      <w:proofErr w:type="spellEnd"/>
      <w:r w:rsidR="00260744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</w:t>
      </w:r>
      <w:proofErr w:type="spellStart"/>
      <w:r w:rsidR="00416D21">
        <w:rPr>
          <w:rFonts w:ascii="Arial" w:hAnsi="Arial" w:cs="Arial"/>
        </w:rPr>
        <w:t>scGPT</w:t>
      </w:r>
      <w:proofErr w:type="spellEnd"/>
      <w:r w:rsidR="00416D21">
        <w:rPr>
          <w:rFonts w:ascii="Arial" w:hAnsi="Arial" w:cs="Arial"/>
        </w:rPr>
        <w:t xml:space="preserve"> and C2S-Scale </w:t>
      </w:r>
      <w:r>
        <w:rPr>
          <w:rFonts w:ascii="Arial" w:hAnsi="Arial" w:cs="Arial"/>
        </w:rPr>
        <w:t>under HPC,</w:t>
      </w:r>
      <w:r w:rsidRPr="00C969CC">
        <w:t xml:space="preserve"> </w:t>
      </w:r>
      <w:r>
        <w:t xml:space="preserve">e.g., </w:t>
      </w:r>
      <w:r w:rsidR="007679E6" w:rsidRPr="007679E6">
        <w:rPr>
          <w:rFonts w:ascii="Arial" w:hAnsi="Arial" w:cs="Arial"/>
        </w:rPr>
        <w:t>https://cambridge-ceu.github.io/csd3/systems/setup.html#fn:C2S</w:t>
      </w:r>
      <w:r>
        <w:rPr>
          <w:rFonts w:ascii="Arial" w:hAnsi="Arial" w:cs="Arial"/>
        </w:rPr>
        <w:t>.</w:t>
      </w: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lastRenderedPageBreak/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r w:rsidR="006969F8" w:rsidRPr="006969F8">
        <w:rPr>
          <w:rFonts w:ascii="Arial" w:hAnsi="Arial" w:cs="Arial"/>
          <w:iCs/>
          <w:szCs w:val="24"/>
          <w:lang w:val="fr-FR"/>
        </w:rPr>
        <w:t>472–477 (2021)</w:t>
      </w:r>
      <w:r w:rsidR="00BE104B">
        <w:rPr>
          <w:rFonts w:ascii="Arial" w:hAnsi="Arial" w:cs="Arial"/>
          <w:szCs w:val="24"/>
        </w:rPr>
        <w:t xml:space="preserve">;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10.18637/jss.v023.i08.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Brunner EJ, Kumari M, Singh-Manoux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r w:rsidRPr="00D317C3">
        <w:rPr>
          <w:rFonts w:ascii="Arial" w:hAnsi="Arial" w:cs="Arial"/>
          <w:bCs/>
          <w:szCs w:val="24"/>
          <w:lang w:eastAsia="zh-CN"/>
        </w:rPr>
        <w:t xml:space="preserve">Multi-ancestry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r w:rsidRPr="00D317C3">
        <w:rPr>
          <w:rFonts w:ascii="Arial" w:eastAsia="Calibri" w:hAnsi="Arial" w:cs="Arial"/>
          <w:bCs/>
          <w:i/>
          <w:szCs w:val="24"/>
        </w:rPr>
        <w:t>Am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10.18637/jss.v085.i06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13(6):e0198166.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r w:rsidRPr="00D317C3">
        <w:rPr>
          <w:rFonts w:ascii="Arial" w:hAnsi="Arial" w:cs="Arial"/>
          <w:i/>
          <w:szCs w:val="24"/>
        </w:rPr>
        <w:t xml:space="preserve">Am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>Mol Psychiatr</w:t>
      </w:r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r w:rsidRPr="00D317C3">
        <w:rPr>
          <w:rFonts w:ascii="Arial" w:hAnsi="Arial" w:cs="Arial"/>
          <w:szCs w:val="24"/>
        </w:rPr>
        <w:t xml:space="preserve">Multi-ancestry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Am J Clin Nutr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r w:rsidRPr="00D317C3">
        <w:rPr>
          <w:rFonts w:ascii="Arial" w:hAnsi="Arial" w:cs="Arial"/>
          <w:szCs w:val="24"/>
        </w:rPr>
        <w:t>Multi-ancestry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Multi-ancestry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r w:rsidRPr="00DF7910">
        <w:rPr>
          <w:rFonts w:ascii="Arial" w:hAnsi="Arial" w:cs="Arial"/>
          <w:i/>
          <w:szCs w:val="24"/>
        </w:rPr>
        <w:t>Am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r w:rsidRPr="00D317C3">
        <w:rPr>
          <w:rFonts w:ascii="Arial" w:hAnsi="Arial" w:cs="Arial"/>
          <w:szCs w:val="24"/>
        </w:rPr>
        <w:t xml:space="preserve">Multi-ancestry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>Performance of deep-learning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4A74E1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1F130D44" w14:textId="361F878C" w:rsidR="004A74E1" w:rsidRPr="004A74E1" w:rsidRDefault="004A74E1" w:rsidP="00D32F76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4A74E1">
        <w:rPr>
          <w:rFonts w:ascii="Arial" w:hAnsi="Arial" w:cs="Arial"/>
          <w:szCs w:val="24"/>
        </w:rPr>
        <w:lastRenderedPageBreak/>
        <w:t xml:space="preserve">Smit RAJ, et al. Polygenic scores to predict body mass index and obesity across populations and through the life course powered by data from 5.1 million individuals. </w:t>
      </w:r>
      <w:r w:rsidRPr="004A74E1">
        <w:rPr>
          <w:rFonts w:ascii="Arial" w:hAnsi="Arial" w:cs="Arial"/>
          <w:i/>
          <w:iCs/>
          <w:szCs w:val="24"/>
        </w:rPr>
        <w:t>Nat Med</w:t>
      </w:r>
      <w:r w:rsidRPr="004A74E1">
        <w:rPr>
          <w:rFonts w:ascii="Arial" w:hAnsi="Arial" w:cs="Arial"/>
          <w:szCs w:val="24"/>
        </w:rPr>
        <w:t xml:space="preserve"> (Accepted).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8120C" w14:textId="77777777" w:rsidR="00C364B0" w:rsidRDefault="00C364B0">
      <w:r>
        <w:separator/>
      </w:r>
    </w:p>
  </w:endnote>
  <w:endnote w:type="continuationSeparator" w:id="0">
    <w:p w14:paraId="327BD8CF" w14:textId="77777777" w:rsidR="00C364B0" w:rsidRDefault="00C3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20609" w14:textId="77777777" w:rsidR="00C364B0" w:rsidRDefault="00C364B0">
      <w:r>
        <w:separator/>
      </w:r>
    </w:p>
  </w:footnote>
  <w:footnote w:type="continuationSeparator" w:id="0">
    <w:p w14:paraId="133C1D80" w14:textId="77777777" w:rsidR="00C364B0" w:rsidRDefault="00C36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28DB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A4EA6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0A1"/>
    <w:rsid w:val="000D7887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34CB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4C3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3482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1BF7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62C5"/>
    <w:rsid w:val="001F7B2F"/>
    <w:rsid w:val="002074A4"/>
    <w:rsid w:val="00210CCF"/>
    <w:rsid w:val="00210E0A"/>
    <w:rsid w:val="00211464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403C"/>
    <w:rsid w:val="00235CCE"/>
    <w:rsid w:val="00236C29"/>
    <w:rsid w:val="00241FCD"/>
    <w:rsid w:val="00245AB2"/>
    <w:rsid w:val="00246F3C"/>
    <w:rsid w:val="0025040B"/>
    <w:rsid w:val="002534C5"/>
    <w:rsid w:val="00255363"/>
    <w:rsid w:val="00260744"/>
    <w:rsid w:val="002671DA"/>
    <w:rsid w:val="00270C1D"/>
    <w:rsid w:val="00273C03"/>
    <w:rsid w:val="002802FA"/>
    <w:rsid w:val="00280536"/>
    <w:rsid w:val="00282069"/>
    <w:rsid w:val="002860D6"/>
    <w:rsid w:val="0028668E"/>
    <w:rsid w:val="002938BE"/>
    <w:rsid w:val="00294968"/>
    <w:rsid w:val="0029535E"/>
    <w:rsid w:val="00296B4A"/>
    <w:rsid w:val="00297A71"/>
    <w:rsid w:val="002A2614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CB1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3F7631"/>
    <w:rsid w:val="0040084D"/>
    <w:rsid w:val="00400927"/>
    <w:rsid w:val="00402451"/>
    <w:rsid w:val="00406F5B"/>
    <w:rsid w:val="004117B9"/>
    <w:rsid w:val="00414FCD"/>
    <w:rsid w:val="00416D21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4E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6B89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87249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0B32"/>
    <w:rsid w:val="00611E1C"/>
    <w:rsid w:val="00612542"/>
    <w:rsid w:val="0061695C"/>
    <w:rsid w:val="00622C10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9E6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879CD"/>
    <w:rsid w:val="00794455"/>
    <w:rsid w:val="00794690"/>
    <w:rsid w:val="00795244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456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35CB"/>
    <w:rsid w:val="008A4CB7"/>
    <w:rsid w:val="008A5772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0438"/>
    <w:rsid w:val="009008B7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5388"/>
    <w:rsid w:val="009563F0"/>
    <w:rsid w:val="0095644A"/>
    <w:rsid w:val="00956DBF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C5CB9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59C4"/>
    <w:rsid w:val="00AC799D"/>
    <w:rsid w:val="00AD13D4"/>
    <w:rsid w:val="00AD1A75"/>
    <w:rsid w:val="00AD2C7C"/>
    <w:rsid w:val="00AD3121"/>
    <w:rsid w:val="00AD5AE7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6812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A7C0F"/>
    <w:rsid w:val="00BB2064"/>
    <w:rsid w:val="00BB2A47"/>
    <w:rsid w:val="00BB4FF6"/>
    <w:rsid w:val="00BB5DC3"/>
    <w:rsid w:val="00BB6A0F"/>
    <w:rsid w:val="00BB6FC5"/>
    <w:rsid w:val="00BB7915"/>
    <w:rsid w:val="00BB79F7"/>
    <w:rsid w:val="00BC0E42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2BE"/>
    <w:rsid w:val="00C16F4C"/>
    <w:rsid w:val="00C21316"/>
    <w:rsid w:val="00C21E48"/>
    <w:rsid w:val="00C30F86"/>
    <w:rsid w:val="00C323B2"/>
    <w:rsid w:val="00C32AEA"/>
    <w:rsid w:val="00C34D7B"/>
    <w:rsid w:val="00C364B0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50E7B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50DF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4E08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0EB"/>
    <w:rsid w:val="00DB7C35"/>
    <w:rsid w:val="00DC3F81"/>
    <w:rsid w:val="00DC4B0C"/>
    <w:rsid w:val="00DC558B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BEE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0265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0211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81DB0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40</cp:revision>
  <cp:lastPrinted>2025-05-27T20:45:00Z</cp:lastPrinted>
  <dcterms:created xsi:type="dcterms:W3CDTF">2024-11-29T19:13:00Z</dcterms:created>
  <dcterms:modified xsi:type="dcterms:W3CDTF">2025-05-27T20:45:00Z</dcterms:modified>
</cp:coreProperties>
</file>