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071E3"/>
          <w:sz w:val="48"/>
        </w:rPr>
        <w:t>MedMask Mac V0 产品需求文档（PRD）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E6E73"/>
          <w:sz w:val="22"/>
        </w:rPr>
        <w:t>本地医疗文档脱敏工具 · 商业化 V0 正式需求规格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文档版本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V0.2 Formal</w:t>
            </w:r>
          </w:p>
        </w:tc>
      </w:tr>
      <w:tr>
        <w:tc>
          <w:tcPr>
            <w:tcW w:type="dxa" w:w="223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适用阶段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V0 自用验证版 / 早期商业化预备版</w:t>
            </w:r>
          </w:p>
        </w:tc>
      </w:tr>
      <w:tr>
        <w:tc>
          <w:tcPr>
            <w:tcW w:type="dxa" w:w="223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目标读者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产品、设计、开发、测试、外部协作开发者</w:t>
            </w:r>
          </w:p>
        </w:tc>
      </w:tr>
      <w:tr>
        <w:tc>
          <w:tcPr>
            <w:tcW w:type="dxa" w:w="223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核心结论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V0 只验证本地脱敏闭环：导入 -&gt; 本地 OCR 候选 -&gt; 人工复核 -&gt; 黑块预览 -&gt; 不可逆导出</w:t>
            </w:r>
          </w:p>
        </w:tc>
      </w:tr>
      <w:tr>
        <w:tc>
          <w:tcPr>
            <w:tcW w:type="dxa" w:w="223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关联交付物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MedMaskMac_V0_Interaction_Prototype.pdf；MedMaskMac_V0_UI_Guidelines_Formal.docx</w:t>
            </w:r>
          </w:p>
        </w:tc>
      </w:tr>
    </w:tbl>
    <w:p/>
    <w:p>
      <w:pPr>
        <w:pStyle w:val="Heading1"/>
      </w:pPr>
      <w:r>
        <w:t>1. 产品定位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color w:val="1D1D1F"/>
          <w:sz w:val="21"/>
        </w:rPr>
        <w:t>MedMask Mac 是一款 local-first（本地优先）的 macOS 桌面工具，用于在医疗 PDF、图片检查单对外分享或发送给 AI 前，辅助用户识别并遮盖其中的个人身份信息。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color w:val="1D1D1F"/>
          <w:sz w:val="21"/>
        </w:rPr>
        <w:t>V0 的产品价值不是替代人工判断，而是通过自动候选和低摩擦复核，让用户比使用 Preview 手工黑块更快、更稳地得到可分享的脱敏副本。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8064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V0 定义</w:t>
            </w:r>
          </w:p>
        </w:tc>
      </w:tr>
      <w:tr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产品类型</w:t>
            </w:r>
          </w:p>
        </w:tc>
        <w:tc>
          <w:tcPr>
            <w:tcW w:type="dxa" w:w="80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本地医疗文档脱敏工具</w:t>
            </w:r>
          </w:p>
        </w:tc>
      </w:tr>
      <w:tr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核心目标</w:t>
            </w:r>
          </w:p>
        </w:tc>
        <w:tc>
          <w:tcPr>
            <w:tcW w:type="dxa" w:w="80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减少人工打码时间，降低身份信息外泄风险</w:t>
            </w:r>
          </w:p>
        </w:tc>
      </w:tr>
      <w:tr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处理方式</w:t>
            </w:r>
          </w:p>
        </w:tc>
        <w:tc>
          <w:tcPr>
            <w:tcW w:type="dxa" w:w="80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本地 OCR、本地候选、本地导出，不上传、不登录、不云同步</w:t>
            </w:r>
          </w:p>
        </w:tc>
      </w:tr>
      <w:tr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导出原则</w:t>
            </w:r>
          </w:p>
        </w:tc>
        <w:tc>
          <w:tcPr>
            <w:tcW w:type="dxa" w:w="80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导出副本必须为不可逆黑块烧录，原件不修改</w:t>
            </w:r>
          </w:p>
        </w:tc>
      </w:tr>
      <w:tr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产品边界</w:t>
            </w:r>
          </w:p>
        </w:tc>
        <w:tc>
          <w:tcPr>
            <w:tcW w:type="dxa" w:w="80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不做医疗诊断、不做 AI 解读、不做病历管理、不做通用 PDF 编辑器</w:t>
            </w:r>
          </w:p>
        </w:tc>
      </w:tr>
    </w:tbl>
    <w:p/>
    <w:p>
      <w:pPr>
        <w:pStyle w:val="Heading1"/>
      </w:pPr>
      <w:r>
        <w:t>2. 目标用户与使用场景</w:t>
      </w:r>
    </w:p>
    <w:p>
      <w:pPr>
        <w:pStyle w:val="Heading2"/>
      </w:pPr>
      <w:r>
        <w:t>2.1 核心用户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长期自我健康管理者：需要把检查单、化验单、报告发送给 AI 或第三方前先去身份化。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患者或家属：希望在病友社区、医生沟通、外部咨询时分享材料，但不暴露姓名、证件号、联系方式、医院等信息。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早期商业化候选用户：处理多份医疗文档的个人或小型服务者，但 V0 不为多人协作做额外功能。</w:t>
      </w:r>
    </w:p>
    <w:p>
      <w:pPr>
        <w:pStyle w:val="Heading2"/>
      </w:pPr>
      <w:r>
        <w:t>2.2 主场景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用户拖入多张检查单图片或 PDF。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选择标准、严格或自定义脱敏模式。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系统在本机执行 OCR，生成敏感候选。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用户逐页复核，执行脱敏、忽略、定位、撤销和手动画框。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用户切换脱敏预览确认黑块效果。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系统导出不可逆脱敏副本，原件不变。</w:t>
      </w:r>
    </w:p>
    <w:p>
      <w:pPr>
        <w:pStyle w:val="Heading1"/>
      </w:pPr>
      <w:r>
        <w:t>3. V0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包含</w:t>
            </w:r>
          </w:p>
        </w:tc>
        <w:tc>
          <w:tcPr>
            <w:tcW w:type="dxa" w:w="792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V0 要求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导入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支持 PDF、PNG、JPG、JPEG；支持拖拽和选择文件；支持多文件批次。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OCR 候选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识别姓名、电话、证件号、医疗编号、生日/日期、医院/科室、电子邮件、工作人员/测试者签名等。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模式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标准脱敏、严格脱敏、自定义脱敏。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复核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候选卡片 + 画布定位；支持脱敏、忽略、撤销、定位；支持手动画框。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画布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支持缩放、适应窗口、原件/脱敏预览切换。</w:t>
            </w:r>
          </w:p>
        </w:tc>
      </w:tr>
      <w:tr>
        <w:tc>
          <w:tcPr>
            <w:tcW w:type="dxa" w:w="187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导出</w:t>
            </w:r>
          </w:p>
        </w:tc>
        <w:tc>
          <w:tcPr>
            <w:tcW w:type="dxa" w:w="792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图片/PDF 均以黑块烧录生成副本；PDF 采用页面位图化后重组。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不包含</w:t>
            </w:r>
          </w:p>
        </w:tc>
        <w:tc>
          <w:tcPr>
            <w:tcW w:type="dxa" w:w="720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259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云端 OCR / 账号 / 同步</w:t>
            </w:r>
          </w:p>
        </w:tc>
        <w:tc>
          <w:tcPr>
            <w:tcW w:type="dxa" w:w="720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违背 local-first 和隐私定位。</w:t>
            </w:r>
          </w:p>
        </w:tc>
      </w:tr>
      <w:tr>
        <w:tc>
          <w:tcPr>
            <w:tcW w:type="dxa" w:w="259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医疗解读和诊断建议</w:t>
            </w:r>
          </w:p>
        </w:tc>
        <w:tc>
          <w:tcPr>
            <w:tcW w:type="dxa" w:w="720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超出产品定位。</w:t>
            </w:r>
          </w:p>
        </w:tc>
      </w:tr>
      <w:tr>
        <w:tc>
          <w:tcPr>
            <w:tcW w:type="dxa" w:w="259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跨会话病历库/时间线</w:t>
            </w:r>
          </w:p>
        </w:tc>
        <w:tc>
          <w:tcPr>
            <w:tcW w:type="dxa" w:w="720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会引入数据库和隐私复杂度，V0 不做。</w:t>
            </w:r>
          </w:p>
        </w:tc>
      </w:tr>
      <w:tr>
        <w:tc>
          <w:tcPr>
            <w:tcW w:type="dxa" w:w="259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团队协作 / 权限管理</w:t>
            </w:r>
          </w:p>
        </w:tc>
        <w:tc>
          <w:tcPr>
            <w:tcW w:type="dxa" w:w="720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V0 验证个人工具闭环。</w:t>
            </w:r>
          </w:p>
        </w:tc>
      </w:tr>
      <w:tr>
        <w:tc>
          <w:tcPr>
            <w:tcW w:type="dxa" w:w="2592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高保真 Figma 视觉稿</w:t>
            </w:r>
          </w:p>
        </w:tc>
        <w:tc>
          <w:tcPr>
            <w:tcW w:type="dxa" w:w="720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V0 先以页面级交互原型 + UI 规范驱动开发。</w:t>
            </w:r>
          </w:p>
        </w:tc>
      </w:tr>
    </w:tbl>
    <w:p/>
    <w:p>
      <w:pPr>
        <w:pStyle w:val="Heading1"/>
      </w:pPr>
      <w:r>
        <w:t>4. 脱敏模式与字段规则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144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标准脱敏</w:t>
            </w:r>
          </w:p>
        </w:tc>
        <w:tc>
          <w:tcPr>
            <w:tcW w:type="dxa" w:w="144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严格脱敏</w:t>
            </w:r>
          </w:p>
        </w:tc>
        <w:tc>
          <w:tcPr>
            <w:tcW w:type="dxa" w:w="144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自定义脱敏</w:t>
            </w:r>
          </w:p>
        </w:tc>
        <w:tc>
          <w:tcPr>
            <w:tcW w:type="dxa" w:w="3384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08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姓名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33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患者姓名；支持“姓名：”和“姓/名”拆分布局。</w:t>
            </w:r>
          </w:p>
        </w:tc>
      </w:tr>
      <w:tr>
        <w:tc>
          <w:tcPr>
            <w:tcW w:type="dxa" w:w="208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电话/手机号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33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标签按原文显示，如“电话”则显示“电话”。</w:t>
            </w:r>
          </w:p>
        </w:tc>
      </w:tr>
      <w:tr>
        <w:tc>
          <w:tcPr>
            <w:tcW w:type="dxa" w:w="208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身份证号/证件号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33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18 位身份证及常见证件号。</w:t>
            </w:r>
          </w:p>
        </w:tc>
      </w:tr>
      <w:tr>
        <w:tc>
          <w:tcPr>
            <w:tcW w:type="dxa" w:w="208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门诊号/住院号/病案号/样本号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33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医疗编号类。</w:t>
            </w:r>
          </w:p>
        </w:tc>
      </w:tr>
      <w:tr>
        <w:tc>
          <w:tcPr>
            <w:tcW w:type="dxa" w:w="208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生日/出生日期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33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日期字段按上下文判断。</w:t>
            </w:r>
          </w:p>
        </w:tc>
      </w:tr>
      <w:tr>
        <w:tc>
          <w:tcPr>
            <w:tcW w:type="dxa" w:w="208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医院/科室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33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严格模式用于更强匿名化。</w:t>
            </w:r>
          </w:p>
        </w:tc>
      </w:tr>
      <w:tr>
        <w:tc>
          <w:tcPr>
            <w:tcW w:type="dxa" w:w="208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电子邮件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33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空字段显示“未检测到填写内容”。</w:t>
            </w:r>
          </w:p>
        </w:tc>
      </w:tr>
      <w:tr>
        <w:tc>
          <w:tcPr>
            <w:tcW w:type="dxa" w:w="208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工作人员/测试者签名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不显示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默认脱敏</w:t>
            </w:r>
          </w:p>
        </w:tc>
        <w:tc>
          <w:tcPr>
            <w:tcW w:type="dxa" w:w="144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33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严格模式独立候选，不得混入患者姓名。</w:t>
            </w:r>
          </w:p>
        </w:tc>
      </w:tr>
    </w:tbl>
    <w:p/>
    <w:p>
      <w:pPr>
        <w:pStyle w:val="Heading1"/>
      </w:pPr>
      <w:r>
        <w:t>5. 候选值状态规则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2880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展示文案</w:t>
            </w:r>
          </w:p>
        </w:tc>
        <w:tc>
          <w:tcPr>
            <w:tcW w:type="dxa" w:w="3456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业务含义</w:t>
            </w:r>
          </w:p>
        </w:tc>
        <w:tc>
          <w:tcPr>
            <w:tcW w:type="dxa" w:w="2016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默认操作</w:t>
            </w:r>
          </w:p>
        </w:tc>
      </w:tr>
      <w:tr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可靠识别</w:t>
            </w:r>
          </w:p>
        </w:tc>
        <w:tc>
          <w:tcPr>
            <w:tcW w:type="dxa" w:w="288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&lt;识别值&gt;</w:t>
            </w:r>
          </w:p>
        </w:tc>
        <w:tc>
          <w:tcPr>
            <w:tcW w:type="dxa" w:w="345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OCR 可靠读出具体内容。</w:t>
            </w:r>
          </w:p>
        </w:tc>
        <w:tc>
          <w:tcPr>
            <w:tcW w:type="dxa" w:w="201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可脱敏、忽略、定位。</w:t>
            </w:r>
          </w:p>
        </w:tc>
      </w:tr>
      <w:tr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疑似识别</w:t>
            </w:r>
          </w:p>
        </w:tc>
        <w:tc>
          <w:tcPr>
            <w:tcW w:type="dxa" w:w="288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可能：&lt;识别值&gt;，请复核</w:t>
            </w:r>
          </w:p>
        </w:tc>
        <w:tc>
          <w:tcPr>
            <w:tcW w:type="dxa" w:w="345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低置信度或上下文不充分。</w:t>
            </w:r>
          </w:p>
        </w:tc>
        <w:tc>
          <w:tcPr>
            <w:tcW w:type="dxa" w:w="201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可脱敏、忽略、定位。</w:t>
            </w:r>
          </w:p>
        </w:tc>
      </w:tr>
      <w:tr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有内容但读不出</w:t>
            </w:r>
          </w:p>
        </w:tc>
        <w:tc>
          <w:tcPr>
            <w:tcW w:type="dxa" w:w="288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未能可靠识别文字，请复核遮盖范围</w:t>
            </w:r>
          </w:p>
        </w:tc>
        <w:tc>
          <w:tcPr>
            <w:tcW w:type="dxa" w:w="345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区域有墨迹/签名/内容，但 OCR 无可靠文本。</w:t>
            </w:r>
          </w:p>
        </w:tc>
        <w:tc>
          <w:tcPr>
            <w:tcW w:type="dxa" w:w="201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可脱敏、忽略、定位。</w:t>
            </w:r>
          </w:p>
        </w:tc>
      </w:tr>
      <w:tr>
        <w:tc>
          <w:tcPr>
            <w:tcW w:type="dxa" w:w="172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空字段</w:t>
            </w:r>
          </w:p>
        </w:tc>
        <w:tc>
          <w:tcPr>
            <w:tcW w:type="dxa" w:w="2880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未检测到填写内容</w:t>
            </w:r>
          </w:p>
        </w:tc>
        <w:tc>
          <w:tcPr>
            <w:tcW w:type="dxa" w:w="345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标签存在但值区域为空。</w:t>
            </w:r>
          </w:p>
        </w:tc>
        <w:tc>
          <w:tcPr>
            <w:tcW w:type="dxa" w:w="201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默认不自动脱敏；允许定位复核。</w:t>
            </w:r>
          </w:p>
        </w:tc>
      </w:tr>
    </w:tbl>
    <w:p/>
    <w:p>
      <w:pPr>
        <w:pStyle w:val="Heading1"/>
      </w:pPr>
      <w:r>
        <w:t>6.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ID</w:t>
            </w:r>
          </w:p>
        </w:tc>
        <w:tc>
          <w:tcPr>
            <w:tcW w:type="dxa" w:w="1296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6624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需求描述</w:t>
            </w:r>
          </w:p>
        </w:tc>
        <w:tc>
          <w:tcPr>
            <w:tcW w:type="dxa" w:w="864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</w:tr>
      <w:tr>
        <w:tc>
          <w:tcPr>
            <w:tcW w:type="dxa" w:w="10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FR-01</w:t>
            </w:r>
          </w:p>
        </w:tc>
        <w:tc>
          <w:tcPr>
            <w:tcW w:type="dxa" w:w="129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导入</w:t>
            </w:r>
          </w:p>
        </w:tc>
        <w:tc>
          <w:tcPr>
            <w:tcW w:type="dxa" w:w="662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支持拖拽 PDF/图片到导入区；导入后显示文件数与页数。</w:t>
            </w:r>
          </w:p>
        </w:tc>
        <w:tc>
          <w:tcPr>
            <w:tcW w:type="dxa" w:w="8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0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FR-02</w:t>
            </w:r>
          </w:p>
        </w:tc>
        <w:tc>
          <w:tcPr>
            <w:tcW w:type="dxa" w:w="129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导入</w:t>
            </w:r>
          </w:p>
        </w:tc>
        <w:tc>
          <w:tcPr>
            <w:tcW w:type="dxa" w:w="662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无文件时“开始处理”禁用；有文件后启用。</w:t>
            </w:r>
          </w:p>
        </w:tc>
        <w:tc>
          <w:tcPr>
            <w:tcW w:type="dxa" w:w="8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0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FR-03</w:t>
            </w:r>
          </w:p>
        </w:tc>
        <w:tc>
          <w:tcPr>
            <w:tcW w:type="dxa" w:w="129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识别</w:t>
            </w:r>
          </w:p>
        </w:tc>
        <w:tc>
          <w:tcPr>
            <w:tcW w:type="dxa" w:w="662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点击“识别当前页”后只对当前页运行本地 OCR 建议。</w:t>
            </w:r>
          </w:p>
        </w:tc>
        <w:tc>
          <w:tcPr>
            <w:tcW w:type="dxa" w:w="8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0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FR-04</w:t>
            </w:r>
          </w:p>
        </w:tc>
        <w:tc>
          <w:tcPr>
            <w:tcW w:type="dxa" w:w="129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识别</w:t>
            </w:r>
          </w:p>
        </w:tc>
        <w:tc>
          <w:tcPr>
            <w:tcW w:type="dxa" w:w="662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候选列表按字段类型展示，按钮包含脱敏、忽略、撤销、定位。</w:t>
            </w:r>
          </w:p>
        </w:tc>
        <w:tc>
          <w:tcPr>
            <w:tcW w:type="dxa" w:w="8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0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FR-05</w:t>
            </w:r>
          </w:p>
        </w:tc>
        <w:tc>
          <w:tcPr>
            <w:tcW w:type="dxa" w:w="129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复核</w:t>
            </w:r>
          </w:p>
        </w:tc>
        <w:tc>
          <w:tcPr>
            <w:tcW w:type="dxa" w:w="662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点击定位，画布滚动/缩放到候选区域并蓝框高亮。</w:t>
            </w:r>
          </w:p>
        </w:tc>
        <w:tc>
          <w:tcPr>
            <w:tcW w:type="dxa" w:w="8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0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FR-06</w:t>
            </w:r>
          </w:p>
        </w:tc>
        <w:tc>
          <w:tcPr>
            <w:tcW w:type="dxa" w:w="129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复核</w:t>
            </w:r>
          </w:p>
        </w:tc>
        <w:tc>
          <w:tcPr>
            <w:tcW w:type="dxa" w:w="662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点击脱敏，候选转为已脱敏，画布对应区域显示黑块。</w:t>
            </w:r>
          </w:p>
        </w:tc>
        <w:tc>
          <w:tcPr>
            <w:tcW w:type="dxa" w:w="8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0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FR-07</w:t>
            </w:r>
          </w:p>
        </w:tc>
        <w:tc>
          <w:tcPr>
            <w:tcW w:type="dxa" w:w="129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复核</w:t>
            </w:r>
          </w:p>
        </w:tc>
        <w:tc>
          <w:tcPr>
            <w:tcW w:type="dxa" w:w="662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点击忽略，候选从待处理列表移出，可在已忽略区域恢复。</w:t>
            </w:r>
          </w:p>
        </w:tc>
        <w:tc>
          <w:tcPr>
            <w:tcW w:type="dxa" w:w="8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FR-08</w:t>
            </w:r>
          </w:p>
        </w:tc>
        <w:tc>
          <w:tcPr>
            <w:tcW w:type="dxa" w:w="129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画布</w:t>
            </w:r>
          </w:p>
        </w:tc>
        <w:tc>
          <w:tcPr>
            <w:tcW w:type="dxa" w:w="662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支持放大、缩小、适应窗口，并保证遮盖框随图片同步缩放。</w:t>
            </w:r>
          </w:p>
        </w:tc>
        <w:tc>
          <w:tcPr>
            <w:tcW w:type="dxa" w:w="8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0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FR-09</w:t>
            </w:r>
          </w:p>
        </w:tc>
        <w:tc>
          <w:tcPr>
            <w:tcW w:type="dxa" w:w="129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预览</w:t>
            </w:r>
          </w:p>
        </w:tc>
        <w:tc>
          <w:tcPr>
            <w:tcW w:type="dxa" w:w="662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原件/脱敏预览切换；预览只显示最终黑块效果。</w:t>
            </w:r>
          </w:p>
        </w:tc>
        <w:tc>
          <w:tcPr>
            <w:tcW w:type="dxa" w:w="8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0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FR-10</w:t>
            </w:r>
          </w:p>
        </w:tc>
        <w:tc>
          <w:tcPr>
            <w:tcW w:type="dxa" w:w="1296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导出</w:t>
            </w:r>
          </w:p>
        </w:tc>
        <w:tc>
          <w:tcPr>
            <w:tcW w:type="dxa" w:w="662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导出为不可逆黑块烧录副本，原件不修改。</w:t>
            </w:r>
          </w:p>
        </w:tc>
        <w:tc>
          <w:tcPr>
            <w:tcW w:type="dxa" w:w="86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</w:tbl>
    <w:p/>
    <w:p>
      <w:pPr>
        <w:pStyle w:val="Heading1"/>
      </w:pPr>
      <w:r>
        <w:t>7. 非功能要求与隐私边界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所有核心处理默认在本机完成，不接入云 OCR、第三方上传、账号登录、分析统计。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PrivateFixtures、真实医疗样本、带隐私截图、原始 OCR 文本不得提交到 Git。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导出副本必须不可逆；PDF 第一版允许通过页面位图化重组实现。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OCR 结果必须明确提示“仅为建议，导出前人工复核”。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单页 OCR 或导出失败不得阻塞整个批次。</w:t>
      </w:r>
    </w:p>
    <w:p>
      <w:pPr>
        <w:pStyle w:val="Heading1"/>
      </w:pPr>
      <w:r>
        <w:t>8.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584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8208"/>
            <w:shd w:fill="E8F4FD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验收标准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效率</w:t>
            </w:r>
          </w:p>
        </w:tc>
        <w:tc>
          <w:tcPr>
            <w:tcW w:type="dxa" w:w="82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同一批真实材料，处理总耗时相比 Preview 手工黑块降低 50% 以上，或用户连续 5 批真实材料后继续使用。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准确性</w:t>
            </w:r>
          </w:p>
        </w:tc>
        <w:tc>
          <w:tcPr>
            <w:tcW w:type="dxa" w:w="82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标准模式至少稳定覆盖姓名、电话、证件号、医疗编号；严格模式覆盖医院、日期、电子邮件、测试者/工作人员签名。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可修正</w:t>
            </w:r>
          </w:p>
        </w:tc>
        <w:tc>
          <w:tcPr>
            <w:tcW w:type="dxa" w:w="82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识别不准时，用户能在 10 秒内完成定位、调框或手动画框。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隐私</w:t>
            </w:r>
          </w:p>
        </w:tc>
        <w:tc>
          <w:tcPr>
            <w:tcW w:type="dxa" w:w="82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导出前无需联网；仓库不含真实样本；导出副本无法通过编辑恢复被遮盖内容。</w:t>
            </w:r>
          </w:p>
        </w:tc>
      </w:tr>
      <w:tr>
        <w:tc>
          <w:tcPr>
            <w:tcW w:type="dxa" w:w="1584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8208"/>
            <w:tcBorders>
              <w:top w:val="single" w:sz="6" w:space="0" w:color="D2D2D7"/>
              <w:left w:val="single" w:sz="6" w:space="0" w:color="D2D2D7"/>
              <w:bottom w:val="single" w:sz="6" w:space="0" w:color="D2D2D7"/>
              <w:right w:val="single" w:sz="6" w:space="0" w:color="D2D2D7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私有 OCR 回归通过；Xcode Debug build 通过；无临时调试日志。</w:t>
            </w:r>
          </w:p>
        </w:tc>
      </w:tr>
    </w:tbl>
    <w:p/>
    <w:p>
      <w:pPr>
        <w:pStyle w:val="Heading1"/>
      </w:pPr>
      <w:r>
        <w:t>9. 商业化闸口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自用验证：连续处理至少 5 批真实资料，用户仍愿意继续使用。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外部拉力：至少 1 个外部用户主动表达使用意愿。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可售卖差异：比 Preview/在线打码工具的优势可被一句话说明。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1D1F"/>
          <w:sz w:val="20"/>
        </w:rPr>
        <w:t>风险可控：本地优先、不可逆导出、人工复核提示已经落地。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1D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1D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D1D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Noto Sans CJK SC" w:hAnsi="Noto Sans CJK SC" w:eastAsia="Noto Sans CJK SC"/>
      <w:color w:val="6E6E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