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071E3"/>
          <w:sz w:val="48"/>
        </w:rPr>
        <w:t>MedMask Mac V0 UI 视觉规范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E6E73"/>
          <w:sz w:val="22"/>
        </w:rPr>
        <w:t>页面布局、组件样式、状态表现与视觉验收标准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文档版本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V0.2 Formal</w:t>
            </w:r>
          </w:p>
        </w:tc>
      </w:tr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适用范围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MedMask Mac V0 原生 macOS 应用</w:t>
            </w:r>
          </w:p>
        </w:tc>
      </w:tr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目标读者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UI 设计、客户端开发、测试、外部协作开发者</w:t>
            </w:r>
          </w:p>
        </w:tc>
      </w:tr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关联交付物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PRD + Interaction Prototype PDF</w:t>
            </w:r>
          </w:p>
        </w:tc>
      </w:tr>
    </w:tbl>
    <w:p/>
    <w:p>
      <w:pPr>
        <w:pStyle w:val="Heading1"/>
      </w:pPr>
      <w:r>
        <w:t>1. 视觉原则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原则</w:t>
            </w:r>
          </w:p>
        </w:tc>
        <w:tc>
          <w:tcPr>
            <w:tcW w:type="dxa" w:w="792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专业克制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界面让医疗文档成为主体，弱化装饰，不做花哨动效。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高可读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候选列表、状态文案和按钮必须在普通 Mac 屏幕上清晰可读。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风险可视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敏感候选、已脱敏、忽略、读不出、空字段必须有稳定视觉区分。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原生 macOS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优先使用系统字体、系统控件习惯和 SF Symbols。</w:t>
            </w:r>
          </w:p>
        </w:tc>
      </w:tr>
    </w:tbl>
    <w:p/>
    <w:p>
      <w:pPr>
        <w:pStyle w:val="Heading1"/>
      </w:pPr>
      <w:r>
        <w:t>2. 页面布局规范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区域</w:t>
            </w:r>
          </w:p>
        </w:tc>
        <w:tc>
          <w:tcPr>
            <w:tcW w:type="dxa" w:w="288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尺寸建议</w:t>
            </w:r>
          </w:p>
        </w:tc>
        <w:tc>
          <w:tcPr>
            <w:tcW w:type="dxa" w:w="5328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窗口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最小 1180 x 760 pt，推荐 1280 x 820 pt</w:t>
            </w:r>
          </w:p>
        </w:tc>
        <w:tc>
          <w:tcPr>
            <w:tcW w:type="dxa" w:w="53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单窗口三页面应用。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左侧导航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160-180 pt</w:t>
            </w:r>
          </w:p>
        </w:tc>
        <w:tc>
          <w:tcPr>
            <w:tcW w:type="dxa" w:w="53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导入批次 / 复核编辑 / 导出结果。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复核左栏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220 pt</w:t>
            </w:r>
          </w:p>
        </w:tc>
        <w:tc>
          <w:tcPr>
            <w:tcW w:type="dxa" w:w="53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文件列表、页码缩略图、处理状态。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画布中栏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自适应，最小 560 pt</w:t>
            </w:r>
          </w:p>
        </w:tc>
        <w:tc>
          <w:tcPr>
            <w:tcW w:type="dxa" w:w="53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文档图像、候选框、黑块、缩放控件。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右侧检查器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320-380 pt</w:t>
            </w:r>
          </w:p>
        </w:tc>
        <w:tc>
          <w:tcPr>
            <w:tcW w:type="dxa" w:w="53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预设、OCR 操作、候选卡片、导出按钮。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候选卡片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右栏内全宽，高度 84-120 pt</w:t>
            </w:r>
          </w:p>
        </w:tc>
        <w:tc>
          <w:tcPr>
            <w:tcW w:type="dxa" w:w="53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字段名、值状态、操作按钮。</w:t>
            </w:r>
          </w:p>
        </w:tc>
      </w:tr>
    </w:tbl>
    <w:p/>
    <w:p>
      <w:pPr>
        <w:pStyle w:val="Heading1"/>
      </w:pPr>
      <w:r>
        <w:t>3. 色彩系统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1728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颜色</w:t>
            </w:r>
          </w:p>
        </w:tc>
        <w:tc>
          <w:tcPr>
            <w:tcW w:type="dxa" w:w="5904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主色/选中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#0071E3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主按钮、当前页、蓝色定位框、选中态。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背景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#F5F5F7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窗口背景、分区底色。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卡片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#FFFFFF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右侧候选卡片、导入统计卡片。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主文字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#1D1D1F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标题、正文、按钮文字。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次文字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#6E6E73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说明文字、状态辅助说明。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危险/高风险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#FF3B30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待脱敏建议框、高风险标签。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成功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#34C759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已处理、已导出、完成状态。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警告/处理中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#FF9500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处理中、疑似值、需要复核。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黑块</w:t>
            </w:r>
          </w:p>
        </w:tc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#000000</w:t>
            </w:r>
          </w:p>
        </w:tc>
        <w:tc>
          <w:tcPr>
            <w:tcW w:type="dxa" w:w="590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脱敏预览和导出烧录区域。</w:t>
            </w:r>
          </w:p>
        </w:tc>
      </w:tr>
    </w:tbl>
    <w:p/>
    <w:p>
      <w:pPr>
        <w:pStyle w:val="Heading1"/>
      </w:pPr>
      <w:r>
        <w:t>4. 字体与间距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216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字号/字重</w:t>
            </w:r>
          </w:p>
        </w:tc>
        <w:tc>
          <w:tcPr>
            <w:tcW w:type="dxa" w:w="547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页面标题</w:t>
            </w:r>
          </w:p>
        </w:tc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22 pt / Semibold</w:t>
            </w:r>
          </w:p>
        </w:tc>
        <w:tc>
          <w:tcPr>
            <w:tcW w:type="dxa" w:w="54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导入批次、复核编辑、导出结果。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区块标题</w:t>
            </w:r>
          </w:p>
        </w:tc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16 pt / Semibold</w:t>
            </w:r>
          </w:p>
        </w:tc>
        <w:tc>
          <w:tcPr>
            <w:tcW w:type="dxa" w:w="54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检测状态、识别结果、字段设置。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正文</w:t>
            </w:r>
          </w:p>
        </w:tc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13-14 pt / Regular</w:t>
            </w:r>
          </w:p>
        </w:tc>
        <w:tc>
          <w:tcPr>
            <w:tcW w:type="dxa" w:w="54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说明文字、候选值。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按钮</w:t>
            </w:r>
          </w:p>
        </w:tc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13 pt / Medium</w:t>
            </w:r>
          </w:p>
        </w:tc>
        <w:tc>
          <w:tcPr>
            <w:tcW w:type="dxa" w:w="54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主按钮、操作按钮。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辅助说明</w:t>
            </w:r>
          </w:p>
        </w:tc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11-12 pt / Regular</w:t>
            </w:r>
          </w:p>
        </w:tc>
        <w:tc>
          <w:tcPr>
            <w:tcW w:type="dxa" w:w="54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状态说明、快捷键提示。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标签</w:t>
            </w:r>
          </w:p>
        </w:tc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10-11 pt / Semibold</w:t>
            </w:r>
          </w:p>
        </w:tc>
        <w:tc>
          <w:tcPr>
            <w:tcW w:type="dxa" w:w="54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高风险、已处理、严格模式等 badge。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全局使用 4 pt 网格，常用间距为 4 / 8 / 12 / 16 / 24 / 32 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卡片圆角 10-12 pt，按钮圆角 6-8 pt，候选框圆角 3-4 pt。</w:t>
      </w:r>
    </w:p>
    <w:p>
      <w:pPr>
        <w:pStyle w:val="Heading1"/>
      </w:pPr>
      <w:r>
        <w:t>5. 核心组件规范</w:t>
      </w:r>
    </w:p>
    <w:p>
      <w:pPr>
        <w:pStyle w:val="Heading2"/>
      </w:pPr>
      <w:r>
        <w:t>5.1 候选卡片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元素</w:t>
            </w:r>
          </w:p>
        </w:tc>
        <w:tc>
          <w:tcPr>
            <w:tcW w:type="dxa" w:w="792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规范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字段名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左上，13 pt Semibold，如“姓名”“电话”“测试者”。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值状态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字段名下方，14 pt；空字段和读不出状态必须完整显示文案。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操作按钮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底部横向排列：脱敏 / 忽略 / 撤销 / 定位。按钮不换行，间距 8 pt。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可靠值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白底卡片 + 普通正文。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疑似值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浅橙提示条或警告图标。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读不出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显示“未能可靠识别文字，请复核遮盖范围”，可定位。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空字段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显示“未检测到填写内容”，默认不制造高风险视觉。</w:t>
            </w:r>
          </w:p>
        </w:tc>
      </w:tr>
    </w:tbl>
    <w:p/>
    <w:p>
      <w:pPr>
        <w:pStyle w:val="Heading2"/>
      </w:pPr>
      <w:r>
        <w:t>5.2 画布框状态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3456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视觉表现</w:t>
            </w:r>
          </w:p>
        </w:tc>
        <w:tc>
          <w:tcPr>
            <w:tcW w:type="dxa" w:w="4176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待处理建议框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红色半透明填充 + 红色边框</w:t>
            </w:r>
          </w:p>
        </w:tc>
        <w:tc>
          <w:tcPr>
            <w:tcW w:type="dxa" w:w="417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OCR 建议，尚未决定是否脱敏。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已脱敏框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黑色实心块；选中时加蓝色描边和手柄</w:t>
            </w:r>
          </w:p>
        </w:tc>
        <w:tc>
          <w:tcPr>
            <w:tcW w:type="dxa" w:w="417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当前页面实时显示最终遮盖。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定位高亮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蓝色描边 + 轻微闪烁 1 次</w:t>
            </w:r>
          </w:p>
        </w:tc>
        <w:tc>
          <w:tcPr>
            <w:tcW w:type="dxa" w:w="417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点击候选“定位”后出现。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忽略框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灰色虚线或从主画布隐藏</w:t>
            </w:r>
          </w:p>
        </w:tc>
        <w:tc>
          <w:tcPr>
            <w:tcW w:type="dxa" w:w="417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用户明确忽略的候选。</w:t>
            </w:r>
          </w:p>
        </w:tc>
      </w:tr>
      <w:tr>
        <w:tc>
          <w:tcPr>
            <w:tcW w:type="dxa" w:w="216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手动画框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创建时蓝色虚线，确认后变为待处理建议框或已脱敏框。</w:t>
            </w:r>
          </w:p>
        </w:tc>
        <w:tc>
          <w:tcPr>
            <w:tcW w:type="dxa" w:w="4176"/>
          </w:tcPr>
          <w:p/>
        </w:tc>
      </w:tr>
    </w:tbl>
    <w:p/>
    <w:p>
      <w:pPr>
        <w:pStyle w:val="Heading2"/>
      </w:pPr>
      <w:r>
        <w:t>5.3 顶部与右侧操作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脱敏预设控件使用 segmented control，标准/严格/自定义三段。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识别当前页按钮使用主色蓝，放在右栏检测状态区域。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缩放控件放在画布右上或底部浮层：- / 百分比 / + / 适应窗口。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导出按钮放在右栏底部，始终可见；无脱敏区域时点击需提示确认。</w:t>
      </w:r>
    </w:p>
    <w:p>
      <w:pPr>
        <w:pStyle w:val="Heading1"/>
      </w:pPr>
      <w:r>
        <w:t>6. 页面视觉规格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792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视觉布局要求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导入页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左侧导航 + 中央拖拽区 + 右侧预设说明和会话统计；主按钮“开始处理”在拖拽区下方。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复核编辑页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左文件页码列表、中间画布、右候选检查器；画布为视觉主体。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脱敏预览状态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画布只突出黑块效果，候选颜色弱化，便于用户确认导出结果。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导出页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顶部统计卡片，下面成功/失败列表，底部打开目录和继续下一批。</w:t>
            </w:r>
          </w:p>
        </w:tc>
      </w:tr>
    </w:tbl>
    <w:p/>
    <w:p>
      <w:pPr>
        <w:pStyle w:val="Heading1"/>
      </w:pPr>
      <w:r>
        <w:t>7. 可访问性与验收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按钮和候选卡片文本不得小于 11 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颜色不能作为唯一状态区分，必须配合文字标签。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候选卡片按钮在 1280 宽窗口下不得拥挤或换行。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画布放大后黑块、红框、蓝框必须与图像内容保持坐标一致。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空字段和读不出状态必须用不同文案和不同风险强度呈现。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1D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1D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Noto Sans CJK SC" w:hAnsi="Noto Sans CJK SC" w:eastAsia="Noto Sans CJK SC"/>
      <w:color w:val="6E6E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