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44818">
      <w:pPr>
        <w:keepNext w:val="0"/>
        <w:spacing w:before="1360" w:after="320"/>
        <w:jc w:val="center"/>
      </w:pPr>
      <w:r>
        <w:rPr>
          <w:rFonts w:ascii="Calibri" w:hAnsi="Calibri" w:eastAsia="Songti SC"/>
          <w:b/>
          <w:color w:val="2E74B5"/>
          <w:sz w:val="24"/>
        </w:rPr>
        <w:t>研究计划报告</w:t>
      </w:r>
    </w:p>
    <w:p w14:paraId="2D26BB08">
      <w:pPr>
        <w:keepNext w:val="0"/>
        <w:spacing w:after="200" w:line="259" w:lineRule="auto"/>
        <w:jc w:val="center"/>
      </w:pPr>
      <w:r>
        <w:t>新西兰城市街区级路侧停车占用率</w:t>
      </w:r>
      <w:r>
        <w:br w:type="textWrapping"/>
      </w:r>
      <w:r>
        <w:t>短期预测研究计划</w:t>
      </w:r>
    </w:p>
    <w:p w14:paraId="08FF3300">
      <w:pPr>
        <w:keepNext w:val="0"/>
        <w:spacing w:after="120"/>
        <w:jc w:val="center"/>
        <w:rPr>
          <w:rFonts w:ascii="Calibri" w:hAnsi="Calibri" w:eastAsia="Songti SC"/>
          <w:color w:val="0B2545"/>
          <w:sz w:val="21"/>
        </w:rPr>
      </w:pPr>
    </w:p>
    <w:p w14:paraId="31010684">
      <w:pPr>
        <w:keepNext w:val="0"/>
        <w:spacing w:after="120"/>
        <w:jc w:val="center"/>
        <w:rPr>
          <w:rFonts w:ascii="Calibri" w:hAnsi="Calibri" w:eastAsia="Songti SC"/>
          <w:color w:val="0B2545"/>
          <w:sz w:val="21"/>
        </w:rPr>
      </w:pPr>
    </w:p>
    <w:p w14:paraId="13C976C4">
      <w:pPr>
        <w:keepNext w:val="0"/>
        <w:spacing w:after="120"/>
        <w:jc w:val="center"/>
        <w:rPr>
          <w:rFonts w:ascii="Calibri" w:hAnsi="Calibri" w:eastAsia="Songti SC"/>
          <w:color w:val="0B2545"/>
          <w:sz w:val="21"/>
        </w:rPr>
      </w:pPr>
    </w:p>
    <w:p w14:paraId="4B78E2C9">
      <w:pPr>
        <w:keepNext w:val="0"/>
        <w:spacing w:after="120"/>
        <w:jc w:val="center"/>
        <w:rPr>
          <w:rFonts w:ascii="Calibri" w:hAnsi="Calibri" w:eastAsia="Songti SC"/>
          <w:color w:val="0B2545"/>
          <w:sz w:val="21"/>
        </w:rPr>
      </w:pPr>
    </w:p>
    <w:p w14:paraId="36884EE3">
      <w:pPr>
        <w:keepNext w:val="0"/>
        <w:spacing w:after="120"/>
        <w:jc w:val="center"/>
        <w:rPr>
          <w:rFonts w:ascii="Calibri" w:hAnsi="Calibri" w:eastAsia="Songti SC"/>
          <w:color w:val="0B2545"/>
          <w:sz w:val="21"/>
        </w:rPr>
      </w:pPr>
    </w:p>
    <w:p w14:paraId="21740162">
      <w:pPr>
        <w:keepNext w:val="0"/>
        <w:spacing w:after="120"/>
        <w:jc w:val="center"/>
        <w:rPr>
          <w:rFonts w:ascii="Calibri" w:hAnsi="Calibri" w:eastAsia="Songti SC"/>
          <w:color w:val="0B2545"/>
          <w:sz w:val="21"/>
        </w:rPr>
      </w:pPr>
    </w:p>
    <w:p w14:paraId="394B57B8">
      <w:pPr>
        <w:keepNext w:val="0"/>
        <w:spacing w:after="120"/>
        <w:jc w:val="center"/>
        <w:rPr>
          <w:rFonts w:ascii="Calibri" w:hAnsi="Calibri" w:eastAsia="Songti SC"/>
          <w:color w:val="0B2545"/>
          <w:sz w:val="21"/>
        </w:rPr>
      </w:pPr>
    </w:p>
    <w:p w14:paraId="7DDE5D7B">
      <w:pPr>
        <w:keepNext w:val="0"/>
        <w:spacing w:after="120"/>
        <w:jc w:val="center"/>
        <w:rPr>
          <w:rFonts w:ascii="Calibri" w:hAnsi="Calibri" w:eastAsia="Songti SC"/>
          <w:color w:val="0B2545"/>
          <w:sz w:val="21"/>
        </w:rPr>
      </w:pPr>
    </w:p>
    <w:p w14:paraId="30781777">
      <w:pPr>
        <w:keepNext w:val="0"/>
        <w:spacing w:after="120"/>
        <w:jc w:val="center"/>
        <w:rPr>
          <w:rFonts w:ascii="Calibri" w:hAnsi="Calibri" w:eastAsia="Songti SC"/>
          <w:color w:val="0B2545"/>
          <w:sz w:val="21"/>
        </w:rPr>
      </w:pPr>
    </w:p>
    <w:p w14:paraId="344E64DD">
      <w:pPr>
        <w:keepNext w:val="0"/>
        <w:spacing w:after="120"/>
        <w:jc w:val="center"/>
        <w:rPr>
          <w:rFonts w:ascii="Calibri" w:hAnsi="Calibri" w:eastAsia="Songti SC"/>
          <w:color w:val="0B2545"/>
          <w:sz w:val="21"/>
        </w:rPr>
      </w:pPr>
    </w:p>
    <w:p w14:paraId="7D08F7AE">
      <w:pPr>
        <w:keepNext w:val="0"/>
        <w:spacing w:after="120"/>
        <w:jc w:val="center"/>
        <w:rPr>
          <w:rFonts w:ascii="Calibri" w:hAnsi="Calibri" w:eastAsia="Songti SC"/>
          <w:color w:val="0B2545"/>
          <w:sz w:val="21"/>
        </w:rPr>
      </w:pPr>
    </w:p>
    <w:p w14:paraId="6F90218E">
      <w:pPr>
        <w:keepNext w:val="0"/>
        <w:spacing w:after="120"/>
        <w:jc w:val="center"/>
        <w:rPr>
          <w:rFonts w:ascii="Calibri" w:hAnsi="Calibri" w:eastAsia="Songti SC"/>
          <w:color w:val="0B2545"/>
          <w:sz w:val="21"/>
        </w:rPr>
      </w:pPr>
    </w:p>
    <w:p w14:paraId="1013917B">
      <w:pPr>
        <w:keepNext w:val="0"/>
        <w:spacing w:after="120"/>
        <w:jc w:val="center"/>
        <w:rPr>
          <w:rFonts w:ascii="Calibri" w:hAnsi="Calibri" w:eastAsia="Songti SC"/>
          <w:color w:val="0B2545"/>
          <w:sz w:val="21"/>
        </w:rPr>
      </w:pPr>
    </w:p>
    <w:p w14:paraId="54A29ACA">
      <w:pPr>
        <w:keepNext w:val="0"/>
        <w:spacing w:after="120"/>
        <w:jc w:val="center"/>
        <w:rPr>
          <w:rFonts w:ascii="Calibri" w:hAnsi="Calibri" w:eastAsia="Songti SC"/>
          <w:color w:val="0B2545"/>
          <w:sz w:val="21"/>
        </w:rPr>
      </w:pPr>
    </w:p>
    <w:p w14:paraId="2330D71A">
      <w:pPr>
        <w:keepNext w:val="0"/>
        <w:spacing w:after="120"/>
        <w:jc w:val="center"/>
        <w:rPr>
          <w:rFonts w:ascii="Calibri" w:hAnsi="Calibri" w:eastAsia="Songti SC"/>
          <w:color w:val="0B2545"/>
          <w:sz w:val="21"/>
        </w:rPr>
      </w:pPr>
    </w:p>
    <w:p w14:paraId="60A429D9">
      <w:pPr>
        <w:keepNext w:val="0"/>
        <w:spacing w:after="120"/>
        <w:jc w:val="center"/>
        <w:rPr>
          <w:rFonts w:ascii="Calibri" w:hAnsi="Calibri" w:eastAsia="Songti SC"/>
          <w:color w:val="0B2545"/>
          <w:sz w:val="21"/>
        </w:rPr>
      </w:pPr>
    </w:p>
    <w:p w14:paraId="41393A8B">
      <w:pPr>
        <w:keepNext w:val="0"/>
        <w:spacing w:after="120"/>
        <w:jc w:val="center"/>
        <w:rPr>
          <w:rFonts w:ascii="Calibri" w:hAnsi="Calibri" w:eastAsia="Songti SC"/>
          <w:color w:val="0B2545"/>
          <w:sz w:val="21"/>
        </w:rPr>
      </w:pPr>
    </w:p>
    <w:p w14:paraId="1575D581">
      <w:pPr>
        <w:keepNext w:val="0"/>
        <w:spacing w:after="120"/>
        <w:jc w:val="center"/>
        <w:rPr>
          <w:rFonts w:ascii="Calibri" w:hAnsi="Calibri" w:eastAsia="Songti SC"/>
          <w:color w:val="0B2545"/>
          <w:sz w:val="21"/>
        </w:rPr>
      </w:pPr>
    </w:p>
    <w:p w14:paraId="11930773">
      <w:pPr>
        <w:keepNext w:val="0"/>
        <w:spacing w:after="120"/>
        <w:jc w:val="center"/>
        <w:rPr>
          <w:rFonts w:ascii="Calibri" w:hAnsi="Calibri" w:eastAsia="Songti SC"/>
          <w:color w:val="0B2545"/>
          <w:sz w:val="21"/>
        </w:rPr>
      </w:pPr>
    </w:p>
    <w:p w14:paraId="4812DB9C">
      <w:pPr>
        <w:keepNext w:val="0"/>
        <w:spacing w:after="120"/>
        <w:jc w:val="center"/>
      </w:pPr>
      <w:r>
        <w:t>研究范围：城市交通 · 街区级占用率预测 · 多源时空比较 · 可部署数据治理</w:t>
      </w:r>
    </w:p>
    <w:p w14:paraId="137B8064">
      <w:r>
        <w:br w:type="page"/>
      </w:r>
    </w:p>
    <w:p w14:paraId="3917144A">
      <w:pPr>
        <w:pStyle w:val="3"/>
      </w:pPr>
      <w:bookmarkStart w:id="0" w:name="_GoBack"/>
      <w:bookmarkEnd w:id="0"/>
      <w:r>
        <w:rPr>
          <w:rFonts w:ascii="Calibri" w:hAnsi="Calibri" w:eastAsia="Songti SC"/>
          <w:b/>
          <w:color w:val="2E74B5"/>
          <w:sz w:val="32"/>
        </w:rPr>
        <w:t>一、研究计划摘要</w:t>
      </w:r>
    </w:p>
    <w:p w14:paraId="769CC189">
      <w:pPr>
        <w:keepNext w:val="0"/>
      </w:pPr>
      <w:r>
        <w:t>本计划拟研究新西兰城市街区级路侧停车占用率的15、30、45和60分钟短期预测。占用率是唯一的主要预测任务；在已知、经核验的泊位容量基础上，可用泊位数量仅作为面向停车管理、诱导和供给评估的派生输出。既有街区级路侧研究已表明，停车记录可与POI、天气、交通或路网等外部信息联合用于短期预测 [2,10,19]。本研究拟以经授权、去标识并聚合的路侧咪表交易记录为候选核心数据，联结时间日历、气象、兴趣点（POI）、道路网络和公共活动等特征，比较统计、机器学习、时序深度学习和时空图模型。</w:t>
      </w:r>
    </w:p>
    <w:p w14:paraId="23D08CEC">
      <w:pPr>
        <w:keepNext w:val="0"/>
      </w:pPr>
      <w:r>
        <w:t>本项目的核心贡献不是同时提出多项独立技术创新，而是回答一个可部署问题：在数据受限的新西兰城市中，多源时空模型是否比透明基线模型更稳定，以及如何用明确的治理约束使该能力能够被负责任地部署。POI、图构建、不确定性、可解释性、公平性和公共价值均作为支撑这一问题的建模或评估维度。报告中的技术路线、研究问题和影响判断均为后续实证工作的计划性设计，不构成任何实验结论。</w:t>
      </w:r>
    </w:p>
    <w:p w14:paraId="5E3C0302">
      <w:pPr>
        <w:pStyle w:val="3"/>
      </w:pPr>
      <w:r>
        <w:rPr>
          <w:rFonts w:ascii="Calibri" w:hAnsi="Calibri" w:eastAsia="Songti SC"/>
          <w:b/>
          <w:color w:val="2E74B5"/>
          <w:sz w:val="32"/>
        </w:rPr>
        <w:t>二、研究领域的重要性</w:t>
      </w:r>
    </w:p>
    <w:p w14:paraId="7D9DB98D">
      <w:pPr>
        <w:pStyle w:val="4"/>
      </w:pPr>
      <w:r>
        <w:rPr>
          <w:rFonts w:ascii="Calibri" w:hAnsi="Calibri" w:eastAsia="Songti SC"/>
          <w:b/>
          <w:color w:val="2E74B5"/>
          <w:sz w:val="26"/>
        </w:rPr>
        <w:t>2.1 为什么是路侧停车占用预测</w:t>
      </w:r>
    </w:p>
    <w:p w14:paraId="3E3DC0FB">
      <w:pPr>
        <w:keepNext w:val="0"/>
      </w:pPr>
      <w:r>
        <w:t>路侧泊位高度嵌入街道活动、商业服务、通勤与公共交通网络。已有路侧停车与可用泊位研究指出，可信的短期预测可为停车诱导和管理提供输入，并有望减少寻找泊位带来的无效行驶；但这种潜在效益取决于预测在实际环境中的可靠性和部署方式 [2,15,19,20]。</w:t>
      </w:r>
    </w:p>
    <w:p w14:paraId="36CCFD47">
      <w:pPr>
        <w:keepNext w:val="0"/>
      </w:pPr>
      <w:r>
        <w:t>短期占用预测面向的是“未来几分钟至一小时内哪里可能有位、预测是否可靠”的决策需求。已有研究已在路侧、开放停车场和区域停车网络中比较短期可用性或占用率预测，并说明实际用途不能只依赖当前状态：车辆到达时，实时信息可能已发生变化 [2,15,20]。本计划因此将预测可信度、街区差异和可部署性作为与平均误差同等重要的判断依据。</w:t>
      </w:r>
    </w:p>
    <w:p w14:paraId="31365CBA">
      <w:pPr>
        <w:pStyle w:val="4"/>
      </w:pPr>
      <w:r>
        <w:rPr>
          <w:rFonts w:ascii="Calibri" w:hAnsi="Calibri" w:eastAsia="Songti SC"/>
          <w:b/>
          <w:color w:val="2E74B5"/>
          <w:sz w:val="26"/>
        </w:rPr>
        <w:t>2.2 为什么聚焦新西兰与 Māori 社群关联</w:t>
      </w:r>
    </w:p>
    <w:p w14:paraId="2FE4D1D0">
      <w:pPr>
        <w:keepNext w:val="0"/>
      </w:pPr>
      <w:r>
        <w:t>新西兰城市具有数据规模相对有限、地方政府停车政策差异明显、路侧咪表记录与开放地理数据可用性不一等特征。文献表明，停车预测对数据覆盖、外部情境和空间关系敏感：当目标区域缺少历史记录时，迁移框架需要依赖可解释的情境特征 [8]；当外部规则或出行行为发生突变时，既有时序模式也可能失效 [12]。因此，不能直接把其他城市训练出的模型视作本地可部署方案。</w:t>
      </w:r>
    </w:p>
    <w:p w14:paraId="137E43AC">
      <w:pPr>
        <w:keepNext w:val="0"/>
      </w:pPr>
      <w:r>
        <w:rPr>
          <w:rFonts w:ascii="Calibri" w:hAnsi="Calibri" w:eastAsia="Songti SC"/>
        </w:rPr>
        <w:t>Māori 关联不应被简化为以族群标签作为一个预测特征。更恰当的定位是：当停车数据、街区尺度分析或服务配置与 Māori 社群、土地或集体利益相关时，研究需要在研究目的、数据访问、解释、共享和收益分配上设置共同设计与治理机制。该安排有助于避免把可识别的流动模式或社区信息用于未授权的二次用途，并使研究产出能服务社区和公共部门的交通与停车决策。</w:t>
      </w:r>
    </w:p>
    <w:p w14:paraId="64923A54">
      <w:pPr>
        <w:pStyle w:val="3"/>
      </w:pPr>
      <w:r>
        <w:rPr>
          <w:rFonts w:ascii="Calibri" w:hAnsi="Calibri" w:eastAsia="Songti SC"/>
          <w:b/>
          <w:color w:val="2E74B5"/>
          <w:sz w:val="32"/>
        </w:rPr>
        <w:t>三、研究领域的主题、子主题及其关系</w:t>
      </w:r>
    </w:p>
    <w:p w14:paraId="5EE9A015">
      <w:pPr>
        <w:keepNext w:val="0"/>
      </w:pPr>
      <w:r>
        <w:t>本计划提供的20篇文献可归纳为三类相互衔接的工作：数据与状态测量决定“能观察什么”；时空模型决定“未来可能发生什么”；验证与部署治理决定“何时可信、能否使用”。POI、图结构、可解释性和不确定性均服务于模型比较；数据质量、公平和治理贯穿数据处理、结果解释与部署评估。</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3250"/>
        <w:gridCol w:w="2800"/>
        <w:gridCol w:w="1860"/>
      </w:tblGrid>
      <w:tr w14:paraId="03332BE8">
        <w:trPr>
          <w:tblHeader/>
        </w:trPr>
        <w:tc>
          <w:tcPr>
            <w:tcW w:w="1450" w:type="dxa"/>
            <w:shd w:val="clear" w:color="auto" w:fill="F4F6F9"/>
            <w:tcMar>
              <w:top w:w="80" w:type="dxa"/>
              <w:left w:w="120" w:type="dxa"/>
              <w:bottom w:w="80" w:type="dxa"/>
              <w:right w:w="120" w:type="dxa"/>
            </w:tcMar>
            <w:vAlign w:val="center"/>
          </w:tcPr>
          <w:p w14:paraId="40DF3D8E">
            <w:pPr>
              <w:spacing w:before="0" w:after="0" w:line="259" w:lineRule="auto"/>
              <w:jc w:val="center"/>
            </w:pPr>
            <w:r>
              <w:rPr>
                <w:rFonts w:ascii="Calibri" w:hAnsi="Calibri" w:eastAsia="Songti SC"/>
                <w:b/>
                <w:color w:val="0B2545"/>
                <w:sz w:val="18"/>
              </w:rPr>
              <w:t>主题层</w:t>
            </w:r>
          </w:p>
        </w:tc>
        <w:tc>
          <w:tcPr>
            <w:tcW w:w="3250" w:type="dxa"/>
            <w:shd w:val="clear" w:color="auto" w:fill="F4F6F9"/>
            <w:tcMar>
              <w:top w:w="80" w:type="dxa"/>
              <w:left w:w="120" w:type="dxa"/>
              <w:bottom w:w="80" w:type="dxa"/>
              <w:right w:w="120" w:type="dxa"/>
            </w:tcMar>
            <w:vAlign w:val="center"/>
          </w:tcPr>
          <w:p w14:paraId="3406EE85">
            <w:pPr>
              <w:spacing w:before="0" w:after="0" w:line="259" w:lineRule="auto"/>
              <w:jc w:val="center"/>
            </w:pPr>
            <w:r>
              <w:t>主要内容（均服务于占用率主任务）</w:t>
            </w:r>
          </w:p>
        </w:tc>
        <w:tc>
          <w:tcPr>
            <w:tcW w:w="2800" w:type="dxa"/>
            <w:shd w:val="clear" w:color="auto" w:fill="F4F6F9"/>
            <w:tcMar>
              <w:top w:w="80" w:type="dxa"/>
              <w:left w:w="120" w:type="dxa"/>
              <w:bottom w:w="80" w:type="dxa"/>
              <w:right w:w="120" w:type="dxa"/>
            </w:tcMar>
            <w:vAlign w:val="center"/>
          </w:tcPr>
          <w:p w14:paraId="4E8291D3">
            <w:pPr>
              <w:spacing w:before="0" w:after="0" w:line="259" w:lineRule="auto"/>
              <w:jc w:val="center"/>
            </w:pPr>
            <w:r>
              <w:rPr>
                <w:rFonts w:ascii="Calibri" w:hAnsi="Calibri" w:eastAsia="Songti SC"/>
                <w:b/>
                <w:color w:val="0B2545"/>
                <w:sz w:val="18"/>
              </w:rPr>
              <w:t>与其他主题的关系</w:t>
            </w:r>
          </w:p>
        </w:tc>
        <w:tc>
          <w:tcPr>
            <w:tcW w:w="1860" w:type="dxa"/>
            <w:shd w:val="clear" w:color="auto" w:fill="F4F6F9"/>
            <w:tcMar>
              <w:top w:w="80" w:type="dxa"/>
              <w:left w:w="120" w:type="dxa"/>
              <w:bottom w:w="80" w:type="dxa"/>
              <w:right w:w="120" w:type="dxa"/>
            </w:tcMar>
            <w:vAlign w:val="center"/>
          </w:tcPr>
          <w:p w14:paraId="253B5BAE">
            <w:pPr>
              <w:spacing w:before="0" w:after="0" w:line="259" w:lineRule="auto"/>
              <w:jc w:val="center"/>
            </w:pPr>
            <w:r>
              <w:rPr>
                <w:rFonts w:ascii="Calibri" w:hAnsi="Calibri" w:eastAsia="Songti SC"/>
                <w:b/>
                <w:color w:val="0B2545"/>
                <w:sz w:val="18"/>
              </w:rPr>
              <w:t>代表文献</w:t>
            </w:r>
          </w:p>
        </w:tc>
      </w:tr>
      <w:tr w14:paraId="06216783">
        <w:tc>
          <w:tcPr>
            <w:tcW w:w="1450" w:type="dxa"/>
          </w:tcPr>
          <w:p w14:paraId="570ABD1C">
            <w:pPr>
              <w:spacing w:before="0" w:after="0" w:line="259" w:lineRule="auto"/>
              <w:jc w:val="left"/>
            </w:pPr>
            <w:r>
              <w:rPr>
                <w:rFonts w:ascii="Calibri" w:hAnsi="Calibri" w:eastAsia="Songti SC"/>
                <w:b w:val="0"/>
                <w:sz w:val="18"/>
              </w:rPr>
              <w:t>① 多源数据</w:t>
            </w:r>
          </w:p>
        </w:tc>
        <w:tc>
          <w:tcPr>
            <w:tcW w:w="3250" w:type="dxa"/>
          </w:tcPr>
          <w:p w14:paraId="1C79A66C">
            <w:pPr>
              <w:spacing w:before="0" w:after="0" w:line="259" w:lineRule="auto"/>
              <w:jc w:val="left"/>
            </w:pPr>
            <w:r>
              <w:t>经授权的付款记录、容量台账与抽样观测；目标为街区级占用率。</w:t>
            </w:r>
          </w:p>
        </w:tc>
        <w:tc>
          <w:tcPr>
            <w:tcW w:w="2800" w:type="dxa"/>
          </w:tcPr>
          <w:p w14:paraId="28B12ACB">
            <w:pPr>
              <w:spacing w:before="0" w:after="0" w:line="259" w:lineRule="auto"/>
              <w:jc w:val="left"/>
            </w:pPr>
            <w:r>
              <w:rPr>
                <w:rFonts w:ascii="Calibri" w:hAnsi="Calibri" w:eastAsia="Songti SC"/>
                <w:b w:val="0"/>
                <w:sz w:val="18"/>
              </w:rPr>
              <w:t>为模型提供状态、扰动和空间关系；数据质量与取得权限决定可行性。</w:t>
            </w:r>
          </w:p>
        </w:tc>
        <w:tc>
          <w:tcPr>
            <w:tcW w:w="1860" w:type="dxa"/>
          </w:tcPr>
          <w:p w14:paraId="787F9685">
            <w:pPr>
              <w:spacing w:before="0" w:after="0" w:line="259" w:lineRule="auto"/>
              <w:jc w:val="left"/>
            </w:pPr>
            <w:r>
              <w:t>[1] [2] [3] [10] [11] [19]</w:t>
            </w:r>
          </w:p>
        </w:tc>
      </w:tr>
      <w:tr w14:paraId="119DBD97">
        <w:tc>
          <w:tcPr>
            <w:tcW w:w="1450" w:type="dxa"/>
          </w:tcPr>
          <w:p w14:paraId="4CA7B2E1">
            <w:pPr>
              <w:spacing w:before="0" w:after="0" w:line="259" w:lineRule="auto"/>
              <w:jc w:val="left"/>
            </w:pPr>
            <w:r>
              <w:rPr>
                <w:rFonts w:ascii="Calibri" w:hAnsi="Calibri" w:eastAsia="Songti SC"/>
                <w:b w:val="0"/>
                <w:sz w:val="18"/>
              </w:rPr>
              <w:t>② 时空预测</w:t>
            </w:r>
          </w:p>
        </w:tc>
        <w:tc>
          <w:tcPr>
            <w:tcW w:w="3250" w:type="dxa"/>
          </w:tcPr>
          <w:p w14:paraId="5824A4A7">
            <w:pPr>
              <w:spacing w:before="0" w:after="0" w:line="259" w:lineRule="auto"/>
              <w:jc w:val="left"/>
            </w:pPr>
            <w:r>
              <w:t>基线、时序模型、时空模型；比较多源信息是否带来稳定增益。</w:t>
            </w:r>
          </w:p>
        </w:tc>
        <w:tc>
          <w:tcPr>
            <w:tcW w:w="2800" w:type="dxa"/>
          </w:tcPr>
          <w:p w14:paraId="35932088">
            <w:pPr>
              <w:spacing w:before="0" w:after="0" w:line="259" w:lineRule="auto"/>
              <w:jc w:val="left"/>
            </w:pPr>
            <w:r>
              <w:rPr>
                <w:rFonts w:ascii="Calibri" w:hAnsi="Calibri" w:eastAsia="Songti SC"/>
                <w:b w:val="0"/>
                <w:sz w:val="18"/>
              </w:rPr>
              <w:t>从数据中学习日/周周期、非线性扰动与泊位间联动；输出预测及其不确定性。</w:t>
            </w:r>
          </w:p>
        </w:tc>
        <w:tc>
          <w:tcPr>
            <w:tcW w:w="1860" w:type="dxa"/>
          </w:tcPr>
          <w:p w14:paraId="4ED64C07">
            <w:pPr>
              <w:spacing w:before="0" w:after="0" w:line="259" w:lineRule="auto"/>
              <w:jc w:val="left"/>
            </w:pPr>
            <w:r>
              <w:t>[1] [2] [5] [6] [7] [9] [11] [15] [19]</w:t>
            </w:r>
          </w:p>
        </w:tc>
      </w:tr>
      <w:tr w14:paraId="7E7C9DF3">
        <w:tc>
          <w:tcPr>
            <w:tcW w:w="1450" w:type="dxa"/>
          </w:tcPr>
          <w:p w14:paraId="48FF6555">
            <w:pPr>
              <w:spacing w:before="0" w:after="0" w:line="259" w:lineRule="auto"/>
              <w:jc w:val="left"/>
            </w:pPr>
            <w:r>
              <w:rPr>
                <w:rFonts w:ascii="Calibri" w:hAnsi="Calibri" w:eastAsia="Songti SC"/>
                <w:b w:val="0"/>
                <w:sz w:val="18"/>
              </w:rPr>
              <w:t>③ 解释与评估</w:t>
            </w:r>
          </w:p>
        </w:tc>
        <w:tc>
          <w:tcPr>
            <w:tcW w:w="3250" w:type="dxa"/>
          </w:tcPr>
          <w:p w14:paraId="071113C0">
            <w:pPr>
              <w:spacing w:before="0" w:after="0" w:line="259" w:lineRule="auto"/>
              <w:jc w:val="left"/>
            </w:pPr>
            <w:r>
              <w:t>时间顺序验证、情境切片、高占用不确定性、街区间误差与解释。</w:t>
            </w:r>
          </w:p>
        </w:tc>
        <w:tc>
          <w:tcPr>
            <w:tcW w:w="2800" w:type="dxa"/>
          </w:tcPr>
          <w:p w14:paraId="17F6171D">
            <w:pPr>
              <w:spacing w:before="0" w:after="0" w:line="259" w:lineRule="auto"/>
              <w:jc w:val="left"/>
            </w:pPr>
            <w:r>
              <w:rPr>
                <w:rFonts w:ascii="Calibri" w:hAnsi="Calibri" w:eastAsia="Songti SC"/>
                <w:b w:val="0"/>
                <w:sz w:val="18"/>
              </w:rPr>
              <w:t>检验模型是否可靠、可理解、可迁移；将误差指标连接到实际管理情境。</w:t>
            </w:r>
          </w:p>
        </w:tc>
        <w:tc>
          <w:tcPr>
            <w:tcW w:w="1860" w:type="dxa"/>
          </w:tcPr>
          <w:p w14:paraId="685AA6CD">
            <w:pPr>
              <w:spacing w:before="0" w:after="0" w:line="259" w:lineRule="auto"/>
              <w:jc w:val="left"/>
            </w:pPr>
            <w:r>
              <w:t>[3] [7] [10] [12] [17] [20]</w:t>
            </w:r>
          </w:p>
        </w:tc>
      </w:tr>
      <w:tr w14:paraId="62092560">
        <w:tc>
          <w:tcPr>
            <w:tcW w:w="1450" w:type="dxa"/>
          </w:tcPr>
          <w:p w14:paraId="4B754674">
            <w:pPr>
              <w:spacing w:before="0" w:after="0" w:line="259" w:lineRule="auto"/>
              <w:jc w:val="left"/>
            </w:pPr>
            <w:r>
              <w:rPr>
                <w:rFonts w:ascii="Calibri" w:hAnsi="Calibri" w:eastAsia="Songti SC"/>
                <w:b w:val="0"/>
                <w:sz w:val="18"/>
              </w:rPr>
              <w:t>④ 应用与治理</w:t>
            </w:r>
          </w:p>
        </w:tc>
        <w:tc>
          <w:tcPr>
            <w:tcW w:w="3250" w:type="dxa"/>
          </w:tcPr>
          <w:p w14:paraId="470FF2EF">
            <w:pPr>
              <w:spacing w:before="0" w:after="0" w:line="259" w:lineRule="auto"/>
              <w:jc w:val="left"/>
            </w:pPr>
            <w:r>
              <w:t>数据授权、最小化与访问控制；发布审查、反馈、投诉纠错和部署边界。</w:t>
            </w:r>
          </w:p>
        </w:tc>
        <w:tc>
          <w:tcPr>
            <w:tcW w:w="2800" w:type="dxa"/>
          </w:tcPr>
          <w:p w14:paraId="33F91B91">
            <w:pPr>
              <w:spacing w:before="0" w:after="0" w:line="259" w:lineRule="auto"/>
              <w:jc w:val="left"/>
            </w:pPr>
            <w:r>
              <w:rPr>
                <w:rFonts w:ascii="Calibri" w:hAnsi="Calibri" w:eastAsia="Songti SC"/>
                <w:b w:val="0"/>
                <w:sz w:val="18"/>
              </w:rPr>
              <w:t>约束数据收集与部署方式，并把模型输出转化为可问责的公共服务。</w:t>
            </w:r>
          </w:p>
        </w:tc>
        <w:tc>
          <w:tcPr>
            <w:tcW w:w="1860" w:type="dxa"/>
          </w:tcPr>
          <w:p w14:paraId="5EC8D11C">
            <w:pPr>
              <w:spacing w:before="0" w:after="0" w:line="259" w:lineRule="auto"/>
              <w:jc w:val="left"/>
            </w:pPr>
            <w:r>
              <w:t>[2] [5] [12] [16] [20]</w:t>
            </w:r>
          </w:p>
        </w:tc>
      </w:tr>
    </w:tbl>
    <w:p w14:paraId="01C5D86E">
      <w:pPr>
        <w:keepNext w:val="0"/>
        <w:spacing w:before="80" w:after="160" w:line="252" w:lineRule="auto"/>
      </w:pPr>
      <w:r>
        <w:rPr>
          <w:rFonts w:ascii="Calibri" w:hAnsi="Calibri" w:eastAsia="Songti SC"/>
          <w:i/>
          <w:color w:val="595959"/>
          <w:sz w:val="17"/>
        </w:rPr>
        <w:t>表1  研究领域主题关系图谱（依据原论文20篇参考文献归纳）</w:t>
      </w:r>
    </w:p>
    <w:p w14:paraId="1FA20B75">
      <w:pPr>
        <w:pStyle w:val="4"/>
      </w:pPr>
      <w:r>
        <w:rPr>
          <w:rFonts w:ascii="Calibri" w:hAnsi="Calibri" w:eastAsia="Songti SC"/>
          <w:b/>
          <w:color w:val="2E74B5"/>
          <w:sz w:val="26"/>
        </w:rPr>
        <w:t>3.1 逻辑关系：从数据到公共价值</w:t>
      </w:r>
    </w:p>
    <w:p w14:paraId="006D152C">
      <w:pPr>
        <w:keepNext w:val="0"/>
      </w:pPr>
      <w:r>
        <w:t>数据与状态测量回答“目标变量是否可信”；模型比较回答“多源时空信息能否在不同情境下稳定改进预测”；验证与治理回答“何时应相信、谁可使用、如何纠错”。因此，治理不是模型完成后的附属环节，而是从数据授权、聚合尺度和访问控制开始，延伸至结果发布、社区反馈和影响评估的研究约束。</w:t>
      </w:r>
    </w:p>
    <w:p w14:paraId="3C959509">
      <w:pPr>
        <w:pStyle w:val="3"/>
      </w:pPr>
      <w:r>
        <w:rPr>
          <w:rFonts w:ascii="Calibri" w:hAnsi="Calibri" w:eastAsia="Songti SC"/>
          <w:b/>
          <w:color w:val="2E74B5"/>
          <w:sz w:val="32"/>
        </w:rPr>
        <w:t>四、拟聚焦的具体研究题目与研究问题</w:t>
      </w:r>
    </w:p>
    <w:p w14:paraId="07904105">
      <w:pPr>
        <w:pStyle w:val="4"/>
      </w:pPr>
      <w:r>
        <w:rPr>
          <w:rFonts w:ascii="Calibri" w:hAnsi="Calibri" w:eastAsia="Songti SC"/>
          <w:b/>
          <w:color w:val="2E74B5"/>
          <w:sz w:val="26"/>
        </w:rPr>
        <w:t>4.1 研究题目</w:t>
      </w:r>
    </w:p>
    <w:p w14:paraId="6DA06E20">
      <w:pPr>
        <w:keepNext w:val="0"/>
        <w:pBdr>
          <w:bottom w:val="single" w:color="B7CBE4" w:sz="8" w:space="5"/>
        </w:pBdr>
        <w:spacing w:before="40" w:after="160"/>
      </w:pPr>
      <w:r>
        <w:t>拟议题目：数据受限新西兰城市的街区级路侧停车占用率短期预测：多源时空模型的稳健性与治理约束</w:t>
      </w:r>
    </w:p>
    <w:p w14:paraId="7660FD8E">
      <w:pPr>
        <w:keepNext w:val="0"/>
      </w:pPr>
      <w:r>
        <w:t>研究单元为街区级路侧泊位组，而非可识别个体的单一停车行为。主要任务为15至60分钟多步占用率预测；只有在泊位容量台账完整且目标变量通过独立观测校验后，才将预测占用率换算为可用泊位数量，作为面向管理的派生输出。研究不延伸至长期停车需求预测、个体出行画像或自动化执法。</w:t>
      </w:r>
    </w:p>
    <w:p w14:paraId="5C653DA1">
      <w:pPr>
        <w:pStyle w:val="4"/>
      </w:pPr>
      <w:r>
        <w:rPr>
          <w:rFonts w:ascii="Calibri" w:hAnsi="Calibri" w:eastAsia="Songti SC"/>
          <w:b/>
          <w:color w:val="2E74B5"/>
          <w:sz w:val="26"/>
        </w:rPr>
        <w:t>4.2 核心研究问题</w:t>
      </w:r>
    </w:p>
    <w:p w14:paraId="203CE079">
      <w:pPr>
        <w:pStyle w:val="14"/>
        <w:spacing w:after="80" w:line="290" w:lineRule="auto"/>
        <w:ind w:left="540" w:hanging="279"/>
      </w:pPr>
      <w:r>
        <w:t>RQ1：在拟议首选案例奥克兰市中心商业街区，经过授权的咪表交易记录能否在泊位容量台账和独立抽样观测支持下，形成足以代表街区级真实占用率的预测目标？未付款、许可证停车、停留时长不明和缺失记录将如何量化并处理？</w:t>
      </w:r>
    </w:p>
    <w:p w14:paraId="152B4F59">
      <w:pPr>
        <w:pStyle w:val="14"/>
        <w:spacing w:after="80" w:line="290" w:lineRule="auto"/>
        <w:ind w:left="540" w:hanging="279"/>
      </w:pPr>
      <w:r>
        <w:t>RQ2：在严格时间顺序验证及政策、天气、活动等情境切片下，加入经治理许可的多源特征与空间关联后，时空模型相较透明基线模型是否具有更稳定的预测表现？POI 表示和特征筛选仅作为回答这一问题的方法环节。</w:t>
      </w:r>
    </w:p>
    <w:p w14:paraId="6037191B">
      <w:pPr>
        <w:pStyle w:val="14"/>
        <w:spacing w:after="80" w:line="290" w:lineRule="auto"/>
        <w:ind w:left="540" w:hanging="279"/>
      </w:pPr>
      <w:r>
        <w:t>RQ3：在接近满位等高管理风险时段，模型误差和预测不确定性如何变化；占用率预测何时可以被安全地转换为可用泊位数量、何时应提示“低可信度”而不作诱导？</w:t>
      </w:r>
    </w:p>
    <w:p w14:paraId="6490677C">
      <w:pPr>
        <w:pStyle w:val="14"/>
        <w:spacing w:after="80" w:line="290" w:lineRule="auto"/>
        <w:ind w:left="540" w:hanging="279"/>
      </w:pPr>
      <w:r>
        <w:t>RQ4：如何将 Te Tiriti 关系、Māori 数据主权、隐私、算法公平和数字包容转化为数据授权、聚合尺度、访问权限、发布审查、协商反馈和部署监测的可执行流程？</w:t>
      </w:r>
    </w:p>
    <w:p w14:paraId="495889AC">
      <w:pPr>
        <w:spacing w:after="80" w:line="290" w:lineRule="auto"/>
        <w:ind w:left="540" w:hanging="279"/>
      </w:pPr>
      <w:r>
        <w:t>研究主线：多源时空预测的附加复杂度，能否在数据受限且需接受公共治理约束的城市环境中带来可证明、可解释且可部署的改进。</w:t>
      </w:r>
    </w:p>
    <w:p w14:paraId="3A7CA471">
      <w:pPr>
        <w:pStyle w:val="4"/>
      </w:pPr>
      <w:r>
        <w:t>4.3 可行性、测量有效性与备选路径</w:t>
      </w:r>
    </w:p>
    <w:p w14:paraId="6C282096">
      <w:pPr>
        <w:keepNext w:val="0"/>
      </w:pPr>
      <w:r>
        <w:t>可行性分为“先确认、再建模”的两阶段。首选案例为奥克兰市中心的若干商业街区，原因是其停车管理与路权调整具有现实相关性；但本计划不预设咪表数据已可获得。第0阶段将向 Auckland Transport 或相关数据管理方确认：聚合交易记录、泊位容量和费率/规则变更记录能否在研究许可下提供；交易记录是否包含可重建停车会话所需的时间信息；以及能否安排少量独立人工或传感器观测用于校验。已有街区级研究显示，咪表交易可作为成本较低的占用估计输入，但需要用地面真实观测校准 [19]。只有当这些条件成立，才将“占用率”作为实证预测目标。</w:t>
      </w:r>
    </w:p>
    <w:p w14:paraId="5E6DEBAE">
      <w:pPr>
        <w:keepNext w:val="0"/>
      </w:pPr>
      <w:r>
        <w:t>咪表付款并不天然等于真实占用。使用咪表交易进行街区级预测的研究同样先将交易转换为占用估计，并以少量地面真实数据校准代理指标 [19]。本研究若可获得支付起止或有效期信息，将先构建“已付款泊位使用量”代理指标，再以容量台账和抽样观测估计其与真实占用率的偏差；未付款、许可证停车和异常交易将被保留为测量误差来源，而非默认为零占用。若无法获得或校验该代理指标，研究将明确降阶为“已付款使用量预测”，不把结果解释为可用泊位或真实占用率。若首选数据许可未获批准，则缩小为一个数据管理方确认可提供的街区试点；若仍不可行，仅使用公开地图、天气和日历数据完成数据治理与研究设计验证，并暂停任何占用率模型的实证结论。</w:t>
      </w:r>
    </w:p>
    <w:p w14:paraId="37F8A2F9">
      <w:pPr>
        <w:pStyle w:val="3"/>
      </w:pPr>
      <w:r>
        <w:rPr>
          <w:rFonts w:ascii="Calibri" w:hAnsi="Calibri" w:eastAsia="Songti SC"/>
          <w:b/>
          <w:color w:val="2E74B5"/>
          <w:sz w:val="32"/>
        </w:rPr>
        <w:t>五、拟议研究设计</w:t>
      </w:r>
    </w:p>
    <w:p w14:paraId="024C469D">
      <w:pPr>
        <w:pStyle w:val="4"/>
      </w:pPr>
      <w:r>
        <w:rPr>
          <w:rFonts w:ascii="Calibri" w:hAnsi="Calibri" w:eastAsia="Songti SC"/>
          <w:b/>
          <w:color w:val="2E74B5"/>
          <w:sz w:val="26"/>
        </w:rPr>
        <w:t>5.1 数据与特征框架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4000"/>
        <w:gridCol w:w="3860"/>
      </w:tblGrid>
      <w:tr w14:paraId="1EC16402">
        <w:trPr>
          <w:tblHeader/>
        </w:trPr>
        <w:tc>
          <w:tcPr>
            <w:tcW w:w="1500" w:type="dxa"/>
            <w:shd w:val="clear" w:color="auto" w:fill="F4F6F9"/>
            <w:tcMar>
              <w:top w:w="80" w:type="dxa"/>
              <w:left w:w="120" w:type="dxa"/>
              <w:bottom w:w="80" w:type="dxa"/>
              <w:right w:w="120" w:type="dxa"/>
            </w:tcMar>
            <w:vAlign w:val="center"/>
          </w:tcPr>
          <w:p w14:paraId="2F3D265F">
            <w:pPr>
              <w:spacing w:before="0" w:after="0" w:line="259" w:lineRule="auto"/>
              <w:jc w:val="center"/>
            </w:pPr>
            <w:r>
              <w:t>模块</w:t>
            </w:r>
          </w:p>
        </w:tc>
        <w:tc>
          <w:tcPr>
            <w:tcW w:w="4000" w:type="dxa"/>
            <w:shd w:val="clear" w:color="auto" w:fill="F4F6F9"/>
            <w:tcMar>
              <w:top w:w="80" w:type="dxa"/>
              <w:left w:w="120" w:type="dxa"/>
              <w:bottom w:w="80" w:type="dxa"/>
              <w:right w:w="120" w:type="dxa"/>
            </w:tcMar>
            <w:vAlign w:val="center"/>
          </w:tcPr>
          <w:p w14:paraId="78F8D465">
            <w:pPr>
              <w:spacing w:before="0" w:after="0" w:line="259" w:lineRule="auto"/>
              <w:jc w:val="center"/>
            </w:pPr>
            <w:r>
              <w:t>拟使用的聚合信息</w:t>
            </w:r>
          </w:p>
        </w:tc>
        <w:tc>
          <w:tcPr>
            <w:tcW w:w="3860" w:type="dxa"/>
            <w:shd w:val="clear" w:color="auto" w:fill="F4F6F9"/>
            <w:tcMar>
              <w:top w:w="80" w:type="dxa"/>
              <w:left w:w="120" w:type="dxa"/>
              <w:bottom w:w="80" w:type="dxa"/>
              <w:right w:w="120" w:type="dxa"/>
            </w:tcMar>
            <w:vAlign w:val="center"/>
          </w:tcPr>
          <w:p w14:paraId="17786BB3">
            <w:pPr>
              <w:spacing w:before="0" w:after="0" w:line="259" w:lineRule="auto"/>
              <w:jc w:val="center"/>
            </w:pPr>
            <w:r>
              <w:t>处理、验证与治理边界</w:t>
            </w:r>
          </w:p>
        </w:tc>
      </w:tr>
      <w:tr w14:paraId="3C830CD8">
        <w:tc>
          <w:tcPr>
            <w:tcW w:w="1500" w:type="dxa"/>
          </w:tcPr>
          <w:p w14:paraId="64E9BC1F">
            <w:pPr>
              <w:spacing w:before="0" w:after="0" w:line="259" w:lineRule="auto"/>
              <w:jc w:val="left"/>
            </w:pPr>
            <w:r>
              <w:t>主要预测目标</w:t>
            </w:r>
          </w:p>
        </w:tc>
        <w:tc>
          <w:tcPr>
            <w:tcW w:w="4000" w:type="dxa"/>
          </w:tcPr>
          <w:p w14:paraId="47E327BA">
            <w:pPr>
              <w:spacing w:before="0" w:after="0" w:line="259" w:lineRule="auto"/>
              <w:jc w:val="left"/>
            </w:pPr>
            <w:r>
              <w:t>按街区/路段和15分钟窗口的占用率；由经核验容量换算为可用泊位数。</w:t>
            </w:r>
          </w:p>
        </w:tc>
        <w:tc>
          <w:tcPr>
            <w:tcW w:w="3860" w:type="dxa"/>
          </w:tcPr>
          <w:p w14:paraId="0AB04035">
            <w:pPr>
              <w:spacing w:before="0" w:after="0" w:line="259" w:lineRule="auto"/>
              <w:jc w:val="left"/>
            </w:pPr>
            <w:r>
              <w:t>付款记录仅是候选代理；以容量台账和抽样观测校验。未验证时改称“已付款使用量”，不输出空余量。</w:t>
            </w:r>
          </w:p>
        </w:tc>
      </w:tr>
      <w:tr w14:paraId="0AB204B0">
        <w:tc>
          <w:tcPr>
            <w:tcW w:w="1500" w:type="dxa"/>
          </w:tcPr>
          <w:p w14:paraId="65988751">
            <w:pPr>
              <w:spacing w:before="0" w:after="0" w:line="259" w:lineRule="auto"/>
              <w:jc w:val="left"/>
            </w:pPr>
            <w:r>
              <w:t>付款与规则记录</w:t>
            </w:r>
          </w:p>
        </w:tc>
        <w:tc>
          <w:tcPr>
            <w:tcW w:w="4000" w:type="dxa"/>
          </w:tcPr>
          <w:p w14:paraId="33B7378D">
            <w:pPr>
              <w:spacing w:before="0" w:after="0" w:line="259" w:lineRule="auto"/>
              <w:jc w:val="left"/>
            </w:pPr>
            <w:r>
              <w:t>聚合咪表交易、可重建会话的时间信息、许可/费率/规则变更（如获授权）。</w:t>
            </w:r>
          </w:p>
        </w:tc>
        <w:tc>
          <w:tcPr>
            <w:tcW w:w="3860" w:type="dxa"/>
          </w:tcPr>
          <w:p w14:paraId="08C50DD3">
            <w:pPr>
              <w:spacing w:before="0" w:after="0" w:line="259" w:lineRule="auto"/>
              <w:jc w:val="left"/>
            </w:pPr>
            <w:r>
              <w:t>记录未付款、许可证停车、时长不明和缺失；不把付款记录直接当作真实占用。参照交易代理需要校准的研究经验 [19]。</w:t>
            </w:r>
          </w:p>
        </w:tc>
      </w:tr>
      <w:tr w14:paraId="0705685A">
        <w:tc>
          <w:tcPr>
            <w:tcW w:w="1500" w:type="dxa"/>
          </w:tcPr>
          <w:p w14:paraId="4E514F96">
            <w:pPr>
              <w:spacing w:before="0" w:after="0" w:line="259" w:lineRule="auto"/>
              <w:jc w:val="left"/>
            </w:pPr>
            <w:r>
              <w:t>时间、活动与天气</w:t>
            </w:r>
          </w:p>
        </w:tc>
        <w:tc>
          <w:tcPr>
            <w:tcW w:w="4000" w:type="dxa"/>
          </w:tcPr>
          <w:p w14:paraId="7D8DA10C">
            <w:pPr>
              <w:spacing w:before="0" w:after="0" w:line="259" w:lineRule="auto"/>
              <w:jc w:val="left"/>
            </w:pPr>
            <w:r>
              <w:t>小时、星期、假日、经核验活动标记及小时级天气变量。</w:t>
            </w:r>
          </w:p>
        </w:tc>
        <w:tc>
          <w:tcPr>
            <w:tcW w:w="3860" w:type="dxa"/>
          </w:tcPr>
          <w:p w14:paraId="57DFAF3D">
            <w:pPr>
              <w:spacing w:before="0" w:after="0" w:line="259" w:lineRule="auto"/>
              <w:jc w:val="left"/>
            </w:pPr>
            <w:r>
              <w:t>统一时间粒度；按时间顺序验证，并把突发事件与常态模式分开报告。</w:t>
            </w:r>
          </w:p>
        </w:tc>
      </w:tr>
      <w:tr w14:paraId="1725900E">
        <w:tc>
          <w:tcPr>
            <w:tcW w:w="1500" w:type="dxa"/>
          </w:tcPr>
          <w:p w14:paraId="17D510A2">
            <w:pPr>
              <w:spacing w:before="0" w:after="0" w:line="259" w:lineRule="auto"/>
              <w:jc w:val="left"/>
            </w:pPr>
            <w:r>
              <w:t>空间与土地利用</w:t>
            </w:r>
          </w:p>
        </w:tc>
        <w:tc>
          <w:tcPr>
            <w:tcW w:w="4000" w:type="dxa"/>
          </w:tcPr>
          <w:p w14:paraId="0E07A80B">
            <w:pPr>
              <w:spacing w:before="0" w:after="0" w:line="259" w:lineRule="auto"/>
              <w:jc w:val="left"/>
            </w:pPr>
            <w:r>
              <w:t>POI类别与可达性、道路网络、公交可达性。</w:t>
            </w:r>
          </w:p>
        </w:tc>
        <w:tc>
          <w:tcPr>
            <w:tcW w:w="3860" w:type="dxa"/>
          </w:tcPr>
          <w:p w14:paraId="1BDF89AF">
            <w:pPr>
              <w:spacing w:before="0" w:after="0" w:line="259" w:lineRule="auto"/>
              <w:jc w:val="left"/>
            </w:pPr>
            <w:r>
              <w:t>用多组缓冲或功能相似度表示；以 Boruta 筛选，检验空间特征的边际价值 [10]。</w:t>
            </w:r>
          </w:p>
        </w:tc>
      </w:tr>
      <w:tr w14:paraId="0DD780DF">
        <w:tc>
          <w:tcPr>
            <w:tcW w:w="1500" w:type="dxa"/>
          </w:tcPr>
          <w:p w14:paraId="278EA9B6">
            <w:pPr>
              <w:spacing w:before="0" w:after="0" w:line="259" w:lineRule="auto"/>
              <w:jc w:val="left"/>
            </w:pPr>
            <w:r>
              <w:t>治理元数据</w:t>
            </w:r>
          </w:p>
        </w:tc>
        <w:tc>
          <w:tcPr>
            <w:tcW w:w="4000" w:type="dxa"/>
          </w:tcPr>
          <w:p w14:paraId="7E74AB5C">
            <w:pPr>
              <w:spacing w:before="0" w:after="0" w:line="259" w:lineRule="auto"/>
              <w:jc w:val="left"/>
            </w:pPr>
            <w:r>
              <w:t>数据来源、授权范围、访问角色、保留期限、更新频率和社区相关性。</w:t>
            </w:r>
          </w:p>
        </w:tc>
        <w:tc>
          <w:tcPr>
            <w:tcW w:w="3860" w:type="dxa"/>
          </w:tcPr>
          <w:p w14:paraId="3BEC21E4">
            <w:pPr>
              <w:spacing w:before="0" w:after="0" w:line="259" w:lineRule="auto"/>
              <w:jc w:val="left"/>
            </w:pPr>
            <w:r>
              <w:t>形成可审计台账；任何超出原目的的再利用均需重新审查。</w:t>
            </w:r>
          </w:p>
        </w:tc>
      </w:tr>
    </w:tbl>
    <w:p w14:paraId="26164B89">
      <w:pPr>
        <w:keepNext w:val="0"/>
        <w:spacing w:before="80" w:after="160" w:line="252" w:lineRule="auto"/>
      </w:pPr>
      <w:r>
        <w:t>表2  预测目标、数据模块与最小化治理边界</w:t>
      </w:r>
    </w:p>
    <w:p w14:paraId="40903D58">
      <w:pPr>
        <w:pStyle w:val="4"/>
      </w:pPr>
      <w:r>
        <w:rPr>
          <w:rFonts w:ascii="Calibri" w:hAnsi="Calibri" w:eastAsia="Songti SC"/>
          <w:b/>
          <w:color w:val="2E74B5"/>
          <w:sz w:val="26"/>
        </w:rPr>
        <w:t>5.2 模型与验证路线</w:t>
      </w:r>
    </w:p>
    <w:p w14:paraId="7314776F">
      <w:pPr>
        <w:keepNext w:val="0"/>
      </w:pPr>
      <w:r>
        <w:t>模型比较按“可解释基线—多源时空模型—可信部署判断”推进，而不是预设高复杂度模型必然优于基线。低数据量或特定场景下，简单或集成基线可能与复杂模型相当甚至更好 [17,20]；因此，模型复杂度须以稳健增益而非新颖性来证明。</w:t>
      </w:r>
    </w:p>
    <w:p w14:paraId="598FAD25">
      <w:pPr>
        <w:pStyle w:val="16"/>
        <w:spacing w:after="80" w:line="290" w:lineRule="auto"/>
        <w:ind w:left="540" w:hanging="279"/>
      </w:pPr>
      <w:r>
        <w:t>基线：历史同周期、ARIMA/SARIMA（时序规律）与 XGBoost、随机森林或其他树模型（经治理许可的多源手工特征）。这些方法已在停车可用性和占用率的比较研究中被用作透明参照 [14,17,18,20]。</w:t>
      </w:r>
    </w:p>
    <w:p w14:paraId="63BEC951">
      <w:pPr>
        <w:pStyle w:val="16"/>
        <w:spacing w:after="80" w:line="290" w:lineRule="auto"/>
        <w:ind w:left="540" w:hanging="279"/>
      </w:pPr>
      <w:r>
        <w:t>候选时序/空间模型：LSTM/GRU 与图卷积—循环模型；用于检验时序表示和地理、可达性或功能相似空间关系是否带来稳定增益 [2,11,19]。</w:t>
      </w:r>
    </w:p>
    <w:p w14:paraId="601D0C66">
      <w:pPr>
        <w:pStyle w:val="16"/>
        <w:spacing w:after="80" w:line="290" w:lineRule="auto"/>
        <w:ind w:left="540" w:hanging="279"/>
      </w:pPr>
      <w:r>
        <w:t>条件性扩展：仅在数据覆盖、样本量和特征可得性达到预设门槛时，测试多视图图注意力—门控循环模型；其目的在于比较地理距离、路网可达性和POI功能相似度等多视图空间信息的边际价值，而非将其设定为默认最优方案 [1,2,11]。</w:t>
      </w:r>
    </w:p>
    <w:p w14:paraId="543D25BA">
      <w:pPr>
        <w:pStyle w:val="16"/>
        <w:spacing w:after="80" w:line="290" w:lineRule="auto"/>
        <w:ind w:left="540" w:hanging="279"/>
      </w:pPr>
      <w:r>
        <w:t>可信度与解释：对候选模型采用可比的特征重要性或SHAP解释。多源LSTM、注意力模型和政策感知模型均显示，外部特征的重要性与解释应在预测结果之外单独报告 [3,7,12]。输出预测区间或概率时，明确区分“预测值”“置信程度”与“可行动建议”。</w:t>
      </w:r>
    </w:p>
    <w:p w14:paraId="3DF9D772">
      <w:pPr>
        <w:keepNext w:val="0"/>
      </w:pPr>
      <w:r>
        <w:t>验证采用严格时间顺序切分：用历史窗口训练、用未来窗口测试，并额外保留规则或费率变化后的时段检验概念漂移。政策冲击研究表明，出行规则改变会使既有停车模式失真，因而不能只以稳定时期的平均精度判断模型 [12]。除全样本 MAE、RMSE、MAPE、R² 与解释方差外，报告高占用、周末、降雨、重大活动和政策调整等子场景表现，以及不同街区之间的误差差异；若使用 MAPE，则对接近零占用场景另行说明其不稳定性。模型是否“更稳定”以跨时间窗口和子场景的表现分布为依据，而不以单次平均误差定论。</w:t>
      </w:r>
    </w:p>
    <w:p w14:paraId="515F2167">
      <w:pPr>
        <w:pStyle w:val="4"/>
      </w:pPr>
      <w:r>
        <w:rPr>
          <w:rFonts w:ascii="Calibri" w:hAnsi="Calibri" w:eastAsia="Songti SC"/>
          <w:b/>
          <w:color w:val="2E74B5"/>
          <w:sz w:val="26"/>
        </w:rPr>
        <w:t>5.3 Māori 相关数据治理与研究参与安排</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5150"/>
        <w:gridCol w:w="2760"/>
      </w:tblGrid>
      <w:tr w14:paraId="0AA0EEBE">
        <w:trPr>
          <w:tblHeader/>
        </w:trPr>
        <w:tc>
          <w:tcPr>
            <w:tcW w:w="1450" w:type="dxa"/>
            <w:shd w:val="clear" w:color="auto" w:fill="F4F6F9"/>
            <w:tcMar>
              <w:top w:w="80" w:type="dxa"/>
              <w:left w:w="120" w:type="dxa"/>
              <w:bottom w:w="80" w:type="dxa"/>
              <w:right w:w="120" w:type="dxa"/>
            </w:tcMar>
            <w:vAlign w:val="center"/>
          </w:tcPr>
          <w:p w14:paraId="7778C4BF">
            <w:pPr>
              <w:spacing w:before="0" w:after="0" w:line="259" w:lineRule="auto"/>
              <w:jc w:val="center"/>
            </w:pPr>
            <w:r>
              <w:t>RQ4流程</w:t>
            </w:r>
          </w:p>
        </w:tc>
        <w:tc>
          <w:tcPr>
            <w:tcW w:w="5150" w:type="dxa"/>
            <w:shd w:val="clear" w:color="auto" w:fill="F4F6F9"/>
            <w:tcMar>
              <w:top w:w="80" w:type="dxa"/>
              <w:left w:w="120" w:type="dxa"/>
              <w:bottom w:w="80" w:type="dxa"/>
              <w:right w:w="120" w:type="dxa"/>
            </w:tcMar>
            <w:vAlign w:val="center"/>
          </w:tcPr>
          <w:p w14:paraId="5161751F">
            <w:pPr>
              <w:spacing w:before="0" w:after="0" w:line="259" w:lineRule="auto"/>
              <w:jc w:val="center"/>
            </w:pPr>
            <w:r>
              <w:t>实际研究动作</w:t>
            </w:r>
          </w:p>
        </w:tc>
        <w:tc>
          <w:tcPr>
            <w:tcW w:w="2760" w:type="dxa"/>
            <w:shd w:val="clear" w:color="auto" w:fill="F4F6F9"/>
            <w:tcMar>
              <w:top w:w="80" w:type="dxa"/>
              <w:left w:w="120" w:type="dxa"/>
              <w:bottom w:w="80" w:type="dxa"/>
              <w:right w:w="120" w:type="dxa"/>
            </w:tcMar>
            <w:vAlign w:val="center"/>
          </w:tcPr>
          <w:p w14:paraId="1319C759">
            <w:pPr>
              <w:spacing w:before="0" w:after="0" w:line="259" w:lineRule="auto"/>
              <w:jc w:val="center"/>
            </w:pPr>
            <w:r>
              <w:t>与数据处理、发布和影响评估的对应</w:t>
            </w:r>
          </w:p>
        </w:tc>
      </w:tr>
      <w:tr w14:paraId="2E662F87">
        <w:tc>
          <w:tcPr>
            <w:tcW w:w="1450" w:type="dxa"/>
          </w:tcPr>
          <w:p w14:paraId="3895F6F8">
            <w:pPr>
              <w:spacing w:before="0" w:after="0" w:line="259" w:lineRule="auto"/>
              <w:jc w:val="left"/>
            </w:pPr>
            <w:r>
              <w:t>数据授权与范围界定</w:t>
            </w:r>
          </w:p>
        </w:tc>
        <w:tc>
          <w:tcPr>
            <w:tcW w:w="5150" w:type="dxa"/>
          </w:tcPr>
          <w:p w14:paraId="39C1FC45">
            <w:pPr>
              <w:spacing w:before="0" w:after="0" w:line="259" w:lineRule="auto"/>
              <w:jc w:val="left"/>
            </w:pPr>
            <w:r>
              <w:t>在访问前明确目的、首选城市与街区、最小字段、保留期限、禁止的二次用途和预期受益对象。</w:t>
            </w:r>
          </w:p>
        </w:tc>
        <w:tc>
          <w:tcPr>
            <w:tcW w:w="2760" w:type="dxa"/>
          </w:tcPr>
          <w:p w14:paraId="45051A10">
            <w:pPr>
              <w:spacing w:before="0" w:after="0" w:line="259" w:lineRule="auto"/>
              <w:jc w:val="left"/>
            </w:pPr>
            <w:r>
              <w:t>数据台账与许可协议；未获授权即不收集或不建模。</w:t>
            </w:r>
          </w:p>
        </w:tc>
      </w:tr>
      <w:tr w14:paraId="5ED60B00">
        <w:tc>
          <w:tcPr>
            <w:tcW w:w="1450" w:type="dxa"/>
          </w:tcPr>
          <w:p w14:paraId="44CEAE34">
            <w:pPr>
              <w:spacing w:before="0" w:after="0" w:line="259" w:lineRule="auto"/>
              <w:jc w:val="left"/>
            </w:pPr>
            <w:r>
              <w:t>关系识别与协商</w:t>
            </w:r>
          </w:p>
        </w:tc>
        <w:tc>
          <w:tcPr>
            <w:tcW w:w="5150" w:type="dxa"/>
          </w:tcPr>
          <w:p w14:paraId="7DEE9478">
            <w:pPr>
              <w:spacing w:before="0" w:after="0" w:line="259" w:lineRule="auto"/>
              <w:jc w:val="left"/>
            </w:pPr>
            <w:r>
              <w:t>若涉及 Māori 社群、iwi/hapū利益、土地或可识别社区模式，在问题定义和数据使用前与相关代表及地方政府协商。</w:t>
            </w:r>
          </w:p>
        </w:tc>
        <w:tc>
          <w:tcPr>
            <w:tcW w:w="2760" w:type="dxa"/>
          </w:tcPr>
          <w:p w14:paraId="6A8AEA4E">
            <w:pPr>
              <w:spacing w:before="0" w:after="0" w:line="259" w:lineRule="auto"/>
              <w:jc w:val="left"/>
            </w:pPr>
            <w:r>
              <w:t>记录何时需要协商、参与方意见及对研究范围的实际调整。</w:t>
            </w:r>
          </w:p>
        </w:tc>
      </w:tr>
      <w:tr w14:paraId="05AAC967">
        <w:tc>
          <w:tcPr>
            <w:tcW w:w="1450" w:type="dxa"/>
          </w:tcPr>
          <w:p w14:paraId="68B1E189">
            <w:pPr>
              <w:spacing w:before="0" w:after="0" w:line="259" w:lineRule="auto"/>
              <w:jc w:val="left"/>
            </w:pPr>
            <w:r>
              <w:t>聚合与访问控制</w:t>
            </w:r>
          </w:p>
        </w:tc>
        <w:tc>
          <w:tcPr>
            <w:tcW w:w="5150" w:type="dxa"/>
          </w:tcPr>
          <w:p w14:paraId="574FA3A5">
            <w:pPr>
              <w:spacing w:before="0" w:after="0" w:line="259" w:lineRule="auto"/>
              <w:jc w:val="left"/>
            </w:pPr>
            <w:r>
              <w:t>采用街区/15分钟等最小必要聚合尺度；最小权限访问；保留数据谱系、授权和分析日志。</w:t>
            </w:r>
          </w:p>
        </w:tc>
        <w:tc>
          <w:tcPr>
            <w:tcW w:w="2760" w:type="dxa"/>
          </w:tcPr>
          <w:p w14:paraId="7A5A343C">
            <w:pPr>
              <w:spacing w:before="0" w:after="0" w:line="259" w:lineRule="auto"/>
              <w:jc w:val="left"/>
            </w:pPr>
            <w:r>
              <w:t>降低轨迹泄露和未经授权复用风险；审查访问日志和再利用申请。</w:t>
            </w:r>
          </w:p>
        </w:tc>
      </w:tr>
      <w:tr w14:paraId="481C9AB9">
        <w:tc>
          <w:tcPr>
            <w:tcW w:w="1450" w:type="dxa"/>
          </w:tcPr>
          <w:p w14:paraId="60719BBF">
            <w:pPr>
              <w:spacing w:before="0" w:after="0" w:line="259" w:lineRule="auto"/>
              <w:jc w:val="left"/>
            </w:pPr>
            <w:r>
              <w:t>结果发布前审查与反馈</w:t>
            </w:r>
          </w:p>
        </w:tc>
        <w:tc>
          <w:tcPr>
            <w:tcW w:w="5150" w:type="dxa"/>
          </w:tcPr>
          <w:p w14:paraId="6C5A29E9">
            <w:pPr>
              <w:spacing w:before="0" w:after="0" w:line="259" w:lineRule="auto"/>
              <w:jc w:val="left"/>
            </w:pPr>
            <w:r>
              <w:t>在模型解释、地图粒度和对外发布前审查污名化、差别影响和误导性诱导风险；以可理解方式反馈结果。</w:t>
            </w:r>
          </w:p>
        </w:tc>
        <w:tc>
          <w:tcPr>
            <w:tcW w:w="2760" w:type="dxa"/>
          </w:tcPr>
          <w:p w14:paraId="0BD73425">
            <w:pPr>
              <w:spacing w:before="0" w:after="0" w:line="259" w:lineRule="auto"/>
              <w:jc w:val="left"/>
            </w:pPr>
            <w:r>
              <w:t>发布审查记录；相关参与方可提出纠错和情境解释。</w:t>
            </w:r>
          </w:p>
        </w:tc>
      </w:tr>
      <w:tr w14:paraId="61708830">
        <w:tc>
          <w:tcPr>
            <w:tcW w:w="1450" w:type="dxa"/>
          </w:tcPr>
          <w:p w14:paraId="39C6EA83">
            <w:pPr>
              <w:spacing w:before="0" w:after="0" w:line="259" w:lineRule="auto"/>
              <w:jc w:val="left"/>
            </w:pPr>
            <w:r>
              <w:t>部署与影响监测</w:t>
            </w:r>
          </w:p>
        </w:tc>
        <w:tc>
          <w:tcPr>
            <w:tcW w:w="5150" w:type="dxa"/>
          </w:tcPr>
          <w:p w14:paraId="36346BC2">
            <w:pPr>
              <w:spacing w:before="0" w:after="0" w:line="259" w:lineRule="auto"/>
              <w:jc w:val="left"/>
            </w:pPr>
            <w:r>
              <w:t>监测各街区误差、数字接入群体的服务可及性、投诉、纠错和疑似数据滥用；保留人工复核与申诉渠道。</w:t>
            </w:r>
          </w:p>
        </w:tc>
        <w:tc>
          <w:tcPr>
            <w:tcW w:w="2760" w:type="dxa"/>
          </w:tcPr>
          <w:p w14:paraId="376B14F7">
            <w:pPr>
              <w:spacing w:before="0" w:after="0" w:line="259" w:lineRule="auto"/>
              <w:jc w:val="left"/>
            </w:pPr>
            <w:r>
              <w:t>直接对应7.4节的影响验证与持续修正，而非一次性伦理声明。</w:t>
            </w:r>
          </w:p>
        </w:tc>
      </w:tr>
    </w:tbl>
    <w:p w14:paraId="574B233E">
      <w:pPr>
        <w:keepNext w:val="0"/>
        <w:spacing w:before="80" w:after="160" w:line="252" w:lineRule="auto"/>
      </w:pPr>
      <w:r>
        <w:t>表3  RQ4 的治理流程与研究参与安排（在伦理审查、数据许可及社群协商中进一步细化）</w:t>
      </w:r>
    </w:p>
    <w:p w14:paraId="0F1569FA">
      <w:pPr>
        <w:pStyle w:val="3"/>
      </w:pPr>
      <w:r>
        <w:rPr>
          <w:rFonts w:ascii="Calibri" w:hAnsi="Calibri" w:eastAsia="Songti SC"/>
          <w:b/>
          <w:color w:val="2E74B5"/>
          <w:sz w:val="32"/>
        </w:rPr>
        <w:t>六、近期文献已解决的问题、研究机会与挑战</w:t>
      </w:r>
    </w:p>
    <w:p w14:paraId="2B2AF5A7">
      <w:pPr>
        <w:pStyle w:val="4"/>
      </w:pPr>
      <w:r>
        <w:rPr>
          <w:rFonts w:ascii="Calibri" w:hAnsi="Calibri" w:eastAsia="Songti SC"/>
          <w:b/>
          <w:color w:val="2E74B5"/>
          <w:sz w:val="26"/>
        </w:rPr>
        <w:t>6.1 文献已经提供的基础</w:t>
      </w:r>
    </w:p>
    <w:p w14:paraId="14E44406">
      <w:pPr>
        <w:keepNext w:val="0"/>
      </w:pPr>
      <w:r>
        <w:t>所提供的文献已经证明，停车占用或可用泊位可被构造成时间序列和监督学习任务 [14,16,18,20]；ARIMA/SARIMAX、树模型、LSTM/GRU、注意力和混合模型均已在不同停车场景中接受比较 [3,5–7,9,17,18,20]；图卷积、功能相似度和多视图空间关系可用于表达停车设施或街区之间的非规则关联 [1,2,11,13,15,19]。其中，路侧研究已特别展示POI的差异化缓冲、天气、交通速度和咪表交易等多源输入的作用 [10,19]。</w:t>
      </w:r>
    </w:p>
    <w:p w14:paraId="6EEA93A7">
      <w:pPr>
        <w:keepNext w:val="0"/>
      </w:pPr>
      <w:r>
        <w:t>这些进展使本研究不必从零开始发明模型。由所提供文献可推导出的机会在于：跨区域或跨停车场模型需要显式处理情境特征和可迁移性 [8,13]；外部政策或行为突变会考验既有模型的稳定性 [12]；而多源和复杂模型的增益仍需与简单基线逐情境比较 [17,20]。此外，这20篇技术研究对数据授权、集体权益、公共部门控制和纠错流程的讨论有限，因此这些治理问题需要由本计划在研究流程中主动补足，而不能被视作既有实证结论。</w:t>
      </w:r>
    </w:p>
    <w:p w14:paraId="5E1FAFC4">
      <w:pPr>
        <w:pStyle w:val="4"/>
      </w:pPr>
      <w:r>
        <w:rPr>
          <w:rFonts w:ascii="Calibri" w:hAnsi="Calibri" w:eastAsia="Songti SC"/>
          <w:b/>
          <w:color w:val="2E74B5"/>
          <w:sz w:val="26"/>
        </w:rPr>
        <w:t>6.2 尚存机会与挑战</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3650"/>
        <w:gridCol w:w="3530"/>
      </w:tblGrid>
      <w:tr w14:paraId="188E893B">
        <w:trPr>
          <w:tblHeader/>
        </w:trPr>
        <w:tc>
          <w:tcPr>
            <w:tcW w:w="2180" w:type="dxa"/>
            <w:shd w:val="clear" w:color="auto" w:fill="F4F6F9"/>
            <w:tcMar>
              <w:top w:w="80" w:type="dxa"/>
              <w:left w:w="120" w:type="dxa"/>
              <w:bottom w:w="80" w:type="dxa"/>
              <w:right w:w="120" w:type="dxa"/>
            </w:tcMar>
            <w:vAlign w:val="center"/>
          </w:tcPr>
          <w:p w14:paraId="0DAADA8A">
            <w:pPr>
              <w:spacing w:before="0" w:after="0" w:line="259" w:lineRule="auto"/>
              <w:jc w:val="center"/>
            </w:pPr>
            <w:r>
              <w:t>既有做法与已解决问题</w:t>
            </w:r>
          </w:p>
        </w:tc>
        <w:tc>
          <w:tcPr>
            <w:tcW w:w="3650" w:type="dxa"/>
            <w:shd w:val="clear" w:color="auto" w:fill="F4F6F9"/>
            <w:tcMar>
              <w:top w:w="80" w:type="dxa"/>
              <w:left w:w="120" w:type="dxa"/>
              <w:bottom w:w="80" w:type="dxa"/>
              <w:right w:w="120" w:type="dxa"/>
            </w:tcMar>
            <w:vAlign w:val="center"/>
          </w:tcPr>
          <w:p w14:paraId="50902F32">
            <w:pPr>
              <w:spacing w:before="0" w:after="0" w:line="259" w:lineRule="auto"/>
              <w:jc w:val="center"/>
            </w:pPr>
            <w:r>
              <w:t>仍然存在的限制</w:t>
            </w:r>
          </w:p>
        </w:tc>
        <w:tc>
          <w:tcPr>
            <w:tcW w:w="3530" w:type="dxa"/>
            <w:shd w:val="clear" w:color="auto" w:fill="F4F6F9"/>
            <w:tcMar>
              <w:top w:w="80" w:type="dxa"/>
              <w:left w:w="120" w:type="dxa"/>
              <w:bottom w:w="80" w:type="dxa"/>
              <w:right w:w="120" w:type="dxa"/>
            </w:tcMar>
            <w:vAlign w:val="center"/>
          </w:tcPr>
          <w:p w14:paraId="6AA54572">
            <w:pPr>
              <w:spacing w:before="0" w:after="0" w:line="259" w:lineRule="auto"/>
              <w:jc w:val="center"/>
            </w:pPr>
            <w:r>
              <w:t>本计划的具体回应</w:t>
            </w:r>
          </w:p>
        </w:tc>
      </w:tr>
      <w:tr w14:paraId="7C69C125">
        <w:tc>
          <w:tcPr>
            <w:tcW w:w="2180" w:type="dxa"/>
          </w:tcPr>
          <w:p w14:paraId="4EC5FCFD">
            <w:pPr>
              <w:spacing w:before="0" w:after="0" w:line="259" w:lineRule="auto"/>
              <w:jc w:val="left"/>
            </w:pPr>
            <w:r>
              <w:t>跨区域迁移与政策变化：迁移特征聚类和停车场分群研究已证明，利用情境或时空相似性可以共享预测知识 [8,13]。</w:t>
            </w:r>
          </w:p>
        </w:tc>
        <w:tc>
          <w:tcPr>
            <w:tcW w:w="3650" w:type="dxa"/>
          </w:tcPr>
          <w:p w14:paraId="5DCAF11C">
            <w:pPr>
              <w:spacing w:before="0" w:after="0" w:line="259" w:lineRule="auto"/>
              <w:jc w:val="left"/>
            </w:pPr>
            <w:r>
              <w:t>目标区域仍可能缺少历史记录；规则、活动或政策变化会改变模式，既有稳定时期的性能不保证可迁移。</w:t>
            </w:r>
          </w:p>
        </w:tc>
        <w:tc>
          <w:tcPr>
            <w:tcW w:w="3530" w:type="dxa"/>
          </w:tcPr>
          <w:p w14:paraId="136A1538">
            <w:pPr>
              <w:spacing w:before="0" w:after="0" w:line="259" w:lineRule="auto"/>
              <w:jc w:val="left"/>
            </w:pPr>
            <w:r>
              <w:t>以奥克兰首选案例开展时间顺序测试，保留规则变化后时段并按情境切片；将迁移/失效诊断作为结果，不只报告平均误差。</w:t>
            </w:r>
          </w:p>
        </w:tc>
      </w:tr>
      <w:tr w14:paraId="4AB27223">
        <w:tc>
          <w:tcPr>
            <w:tcW w:w="2180" w:type="dxa"/>
          </w:tcPr>
          <w:p w14:paraId="64B660EC">
            <w:pPr>
              <w:spacing w:before="0" w:after="0" w:line="259" w:lineRule="auto"/>
              <w:jc w:val="left"/>
            </w:pPr>
            <w:r>
              <w:t>高占用与不确定性：既有点预测可估计一般时段的占用或可用泊位，并已用于短期诱导场景 [15,20]。</w:t>
            </w:r>
          </w:p>
        </w:tc>
        <w:tc>
          <w:tcPr>
            <w:tcW w:w="3650" w:type="dxa"/>
          </w:tcPr>
          <w:p w14:paraId="4216CC63">
            <w:pPr>
              <w:spacing w:before="0" w:after="0" w:line="259" w:lineRule="auto"/>
              <w:jc w:val="left"/>
            </w:pPr>
            <w:r>
              <w:t>接近满位时，少量误差即可把“有位”误导为“无位”；平均 MAE/RMSE 不能呈现这一风险。</w:t>
            </w:r>
          </w:p>
        </w:tc>
        <w:tc>
          <w:tcPr>
            <w:tcW w:w="3530" w:type="dxa"/>
          </w:tcPr>
          <w:p w14:paraId="1D88A773">
            <w:pPr>
              <w:spacing w:before="0" w:after="0" w:line="259" w:lineRule="auto"/>
              <w:jc w:val="left"/>
            </w:pPr>
            <w:r>
              <w:t>单列高占用误差、区间覆盖率和低可信度提示；仅在容量明确且不确定性可接受时将占用率转为可用泊位数。</w:t>
            </w:r>
          </w:p>
        </w:tc>
      </w:tr>
      <w:tr w14:paraId="6087AFD4">
        <w:tc>
          <w:tcPr>
            <w:tcW w:w="2180" w:type="dxa"/>
          </w:tcPr>
          <w:p w14:paraId="393482A8">
            <w:pPr>
              <w:spacing w:before="0" w:after="0" w:line="259" w:lineRule="auto"/>
              <w:jc w:val="left"/>
            </w:pPr>
            <w:r>
              <w:t>多源数据：现有研究已展示POI、天气、交通、影像与图结构可作为预测输入 [1–3,10,11,19]。</w:t>
            </w:r>
          </w:p>
        </w:tc>
        <w:tc>
          <w:tcPr>
            <w:tcW w:w="3650" w:type="dxa"/>
          </w:tcPr>
          <w:p w14:paraId="02F9CB00">
            <w:pPr>
              <w:spacing w:before="0" w:after="0" w:line="259" w:lineRule="auto"/>
              <w:jc w:val="left"/>
            </w:pPr>
            <w:r>
              <w:t>实际城市数据常有缺失、权限分散、更新时滞和代理偏差，复杂模型增益未必可重复。</w:t>
            </w:r>
          </w:p>
        </w:tc>
        <w:tc>
          <w:tcPr>
            <w:tcW w:w="3530" w:type="dxa"/>
          </w:tcPr>
          <w:p w14:paraId="6123E9B3">
            <w:pPr>
              <w:spacing w:before="0" w:after="0" w:line="259" w:lineRule="auto"/>
              <w:jc w:val="left"/>
            </w:pPr>
            <w:r>
              <w:t>先建立数据台账和付款代理校验，再以逐步特征加入和透明基线检验每类数据的边际价值。</w:t>
            </w:r>
          </w:p>
        </w:tc>
      </w:tr>
      <w:tr w14:paraId="33F44501">
        <w:tc>
          <w:tcPr>
            <w:tcW w:w="2180" w:type="dxa"/>
          </w:tcPr>
          <w:p w14:paraId="1400E8CD">
            <w:pPr>
              <w:spacing w:before="0" w:after="0" w:line="259" w:lineRule="auto"/>
              <w:jc w:val="left"/>
            </w:pPr>
            <w:r>
              <w:t>公共价值：停车预测研究通常将诱导、减少寻泊或资源利用视为潜在应用 [2,15,19,20]。</w:t>
            </w:r>
          </w:p>
        </w:tc>
        <w:tc>
          <w:tcPr>
            <w:tcW w:w="3650" w:type="dxa"/>
          </w:tcPr>
          <w:p w14:paraId="0C5EB88F">
            <w:pPr>
              <w:spacing w:before="0" w:after="0" w:line="259" w:lineRule="auto"/>
              <w:jc w:val="left"/>
            </w:pPr>
            <w:r>
              <w:t>精度不直接等于减少寻泊、改善可及性或公平；部署可能产生新的诱导和分配效应。</w:t>
            </w:r>
          </w:p>
        </w:tc>
        <w:tc>
          <w:tcPr>
            <w:tcW w:w="3530" w:type="dxa"/>
          </w:tcPr>
          <w:p w14:paraId="2313EC22">
            <w:pPr>
              <w:spacing w:before="0" w:after="0" w:line="259" w:lineRule="auto"/>
              <w:jc w:val="left"/>
            </w:pPr>
            <w:r>
              <w:t>设置高占用误差、街区间误差、寻泊时间、服务可及性和投诉纠错等可验证指标；无试点不作因果声称。</w:t>
            </w:r>
          </w:p>
        </w:tc>
      </w:tr>
      <w:tr w14:paraId="3187EDEA">
        <w:tc>
          <w:tcPr>
            <w:tcW w:w="2180" w:type="dxa"/>
          </w:tcPr>
          <w:p w14:paraId="5A6269AB">
            <w:pPr>
              <w:spacing w:before="0" w:after="0" w:line="259" w:lineRule="auto"/>
              <w:jc w:val="left"/>
            </w:pPr>
            <w:r>
              <w:t>治理与集体权益：所提供技术文献已显示外部政策会改变停车行为和预测关系 [12]。</w:t>
            </w:r>
          </w:p>
        </w:tc>
        <w:tc>
          <w:tcPr>
            <w:tcW w:w="3650" w:type="dxa"/>
          </w:tcPr>
          <w:p w14:paraId="0D7BA7C4">
            <w:pPr>
              <w:spacing w:before="0" w:after="0" w:line="259" w:lineRule="auto"/>
              <w:jc w:val="left"/>
            </w:pPr>
            <w:r>
              <w:t>数据授权、Māori 数据主权、社群参与、访问控制与公共部门问责在这批技术文献中尚未形成可操作流程。</w:t>
            </w:r>
          </w:p>
        </w:tc>
        <w:tc>
          <w:tcPr>
            <w:tcW w:w="3530" w:type="dxa"/>
          </w:tcPr>
          <w:p w14:paraId="5DC38AFC">
            <w:pPr>
              <w:spacing w:before="0" w:after="0" w:line="259" w:lineRule="auto"/>
              <w:jc w:val="left"/>
            </w:pPr>
            <w:r>
              <w:t>把协商触发条件、授权、聚合尺度、访问角色、发布审查、反馈和滥用监测写入表3与RQ4，形成可检查流程。</w:t>
            </w:r>
          </w:p>
        </w:tc>
      </w:tr>
    </w:tbl>
    <w:p w14:paraId="25139089">
      <w:pPr>
        <w:keepNext w:val="0"/>
        <w:spacing w:before="80" w:after="160" w:line="252" w:lineRule="auto"/>
      </w:pPr>
      <w:r>
        <w:t>表4  从文献已解决能力到本计划具体回应的机会链条</w:t>
      </w:r>
    </w:p>
    <w:p w14:paraId="0D13B386">
      <w:pPr>
        <w:pStyle w:val="3"/>
      </w:pPr>
      <w:r>
        <w:rPr>
          <w:rFonts w:ascii="Calibri" w:hAnsi="Calibri" w:eastAsia="Songti SC"/>
          <w:b/>
          <w:color w:val="2E74B5"/>
          <w:sz w:val="32"/>
        </w:rPr>
        <w:t>七、潜在社会、技术与治理影响</w:t>
      </w:r>
    </w:p>
    <w:p w14:paraId="555AA337">
      <w:pPr>
        <w:pStyle w:val="4"/>
      </w:pPr>
      <w:r>
        <w:rPr>
          <w:rFonts w:ascii="Calibri" w:hAnsi="Calibri" w:eastAsia="Songti SC"/>
          <w:b/>
          <w:color w:val="2E74B5"/>
          <w:sz w:val="26"/>
        </w:rPr>
        <w:t>7.1 社会影响：便利、减排与分配之间的条件关系</w:t>
      </w:r>
    </w:p>
    <w:p w14:paraId="73A72282">
      <w:pPr>
        <w:keepNext w:val="0"/>
      </w:pPr>
      <w:r>
        <w:t>若预测被用于可信、易理解且公平的公共停车信息服务，可能减少无效寻泊，并为有需要的临停、无障碍停车和街区管理提供更及时的信息。路侧、多停车场和开放停车场研究均将短期占用或可用泊位预测视为支持停车诱导与资源管理的输入 [2,15,19,20]。但此类便利、减排或分配效应并非由预测精度自动产生：如果系统只提高私人机动车进入中心区的便利性，或把车辆诱导到居民街区，可能加剧局部交通和停车挤压。</w:t>
      </w:r>
    </w:p>
    <w:p w14:paraId="76BB687B">
      <w:pPr>
        <w:pStyle w:val="4"/>
      </w:pPr>
      <w:r>
        <w:rPr>
          <w:rFonts w:ascii="Calibri" w:hAnsi="Calibri" w:eastAsia="Songti SC"/>
          <w:b/>
          <w:color w:val="2E74B5"/>
          <w:sz w:val="26"/>
        </w:rPr>
        <w:t>7.2 技术影响：从单点精度到可信、可维护的系统</w:t>
      </w:r>
    </w:p>
    <w:p w14:paraId="75B621BD">
      <w:pPr>
        <w:keepNext w:val="0"/>
      </w:pPr>
      <w:r>
        <w:t>技术上，本研究拟形成适用于数据受限城市的分层模型选择框架：数据不足时使用透明基线；具备足够空间和多源信息时才检验图模型的增益；在高风险情境下同时输出预测、解释和不确定性。已有研究既展示了多源、注意力与图模型的潜力 [1–3,9,11]，也说明较简单模型在特定数据集或低数据量条件下可能表现更稳健 [17,20]。对地方政府而言，可用能力还包括数据接口、质量监测、版本管理、错误修正和人工复核，而不是一次性的模型训练。</w:t>
      </w:r>
    </w:p>
    <w:p w14:paraId="6BBE273D">
      <w:pPr>
        <w:pStyle w:val="4"/>
      </w:pPr>
      <w:r>
        <w:rPr>
          <w:rFonts w:ascii="Calibri" w:hAnsi="Calibri" w:eastAsia="Songti SC"/>
          <w:b/>
          <w:color w:val="2E74B5"/>
          <w:sz w:val="26"/>
        </w:rPr>
        <w:t>7.3 治理影响：公共控制、权益与问责</w:t>
      </w:r>
    </w:p>
    <w:p w14:paraId="796C067A">
      <w:pPr>
        <w:keepNext w:val="0"/>
      </w:pPr>
      <w:r>
        <w:t>治理上，研究将把停车数据视为具有公共后果的城市数据，而非单纯商业资产。以 Te Tiriti 关系和 Māori 数据主权为导向的流程，要求在相关场景中建立沟通、参与、授权和回馈，而不是以研究便利替代社群决定权。隐私保护覆盖数据聚合、访问、再利用、地图呈现和服务接口；算法公平检查街区之间的误差与服务可及性；公共部门保留对收费、诱导和路权决策的裁量、人工复核与申诉机制。</w:t>
      </w:r>
    </w:p>
    <w:p w14:paraId="3EE39F35">
      <w:pPr>
        <w:pStyle w:val="4"/>
      </w:pPr>
      <w:r>
        <w:t>7.4 如何验证影响是否真实存在</w:t>
      </w:r>
    </w:p>
    <w:p w14:paraId="3B536913">
      <w:r>
        <w:t>影响验证分为模型层、服务层和治理层。模型层：报告高占用时段的预测误差、预测区间覆盖率和不同街区之间的误差差异，避免平均精度掩盖最需要信息的场景。服务层：若进入实际试点，采用部署前后比较或与未部署相似街区的对照设计，结合匿名聚合的停留/流量指标与用户调查，检验寻泊时间是否减少、公共停车服务可及性是否改善或恶化；未实施试点时，不对减排或寻泊效果作因果宣称。治理层：记录投诉、纠错请求、访问日志、数据再利用申请及潜在滥用事件，并由数据管理方和相关参与者定期复核。</w:t>
      </w:r>
    </w:p>
    <w:p w14:paraId="58A9798C">
      <w:pPr>
        <w:pStyle w:val="3"/>
      </w:pPr>
      <w:r>
        <w:rPr>
          <w:rFonts w:ascii="Calibri" w:hAnsi="Calibri" w:eastAsia="Songti SC"/>
          <w:b/>
          <w:color w:val="2E74B5"/>
          <w:sz w:val="32"/>
        </w:rPr>
        <w:t>八、预期产出与实施边界</w:t>
      </w:r>
    </w:p>
    <w:p w14:paraId="228C726E">
      <w:pPr>
        <w:keepNext w:val="0"/>
      </w:pPr>
      <w:r>
        <w:t>若进入后续实证阶段，预期产出不是单一“最优模型”，而是一套可审查的研究结果：目标变量有效性与代理偏差说明、数据许可和质量台账、基线与多源时空模型对比、情境化误差与不确定性报告、可解释性结果、RQ4 治理流程记录、影响验证方案，以及适用于地方政府的部署风险清单。</w:t>
      </w:r>
    </w:p>
    <w:p w14:paraId="22DE512E">
      <w:pPr>
        <w:keepNext w:val="0"/>
      </w:pPr>
      <w:r>
        <w:t>实施前置条件包括：获得适当的数据许可和伦理审批；确认泊位容量、付款代理与真实占用率之间的可验证关系；确认数据是否涉及可识别个人或 Māori 集体利益；与相关地方政府、数据管理者和社区代表商定使用边界；避免将预测用于自动化执法、差别收费或其他超出原授权目的的高影响决定。任一关键条件不满足时，研究应按第4.3节的降阶路径缩小范围或暂停占用率预测，而不以未经验证的付款记录替代真实状态。</w:t>
      </w:r>
    </w:p>
    <w:p w14:paraId="11C453E1">
      <w:pPr>
        <w:pStyle w:val="3"/>
      </w:pPr>
      <w:r>
        <w:rPr>
          <w:rFonts w:ascii="Calibri" w:hAnsi="Calibri" w:eastAsia="Songti SC"/>
          <w:b/>
          <w:color w:val="2E74B5"/>
          <w:sz w:val="32"/>
        </w:rPr>
        <w:t>九、结论</w:t>
      </w:r>
    </w:p>
    <w:p w14:paraId="4C073166">
      <w:pPr>
        <w:keepNext w:val="0"/>
      </w:pPr>
      <w:r>
        <w:t>本研究聚焦的不是抽象的“占用状态”，而是街区级路侧停车占用率的短期预测；可用泊位数量只在容量已知且预测可信时作为派生管理输出。所提供文献已为基线、深度时序、空间图、多源融合和迁移预测提供方法基础 [1,2,5–11,13–20]；本计划的研究机会则来自这些方法在新西兰城市数据约束、规则变化和公共部署条件下尚未充分验证的稳健性。</w:t>
      </w:r>
    </w:p>
    <w:p w14:paraId="53C0629A">
      <w:pPr>
        <w:keepNext w:val="0"/>
      </w:pPr>
      <w:r>
        <w:t>因此，计划以奥克兰市中心商业街区为首选、以数据可得性核验为前置条件推进：先确认目标变量和许可边界，再比较多源时空模型与透明基线，最后以高占用误差、街区间公平、服务可及性和治理事件检验其是否值得部署。该主线使模型复杂度、公共价值与 Māori 相关权益、隐私和数字包容在同一可执行研究框架中得到审查。</w:t>
      </w:r>
    </w:p>
    <w:p w14:paraId="1252D36A">
      <w:r>
        <w:br w:type="page"/>
      </w:r>
    </w:p>
    <w:p w14:paraId="05E28739">
      <w:pPr>
        <w:pStyle w:val="3"/>
      </w:pPr>
      <w:r>
        <w:rPr>
          <w:rFonts w:ascii="Calibri" w:hAnsi="Calibri" w:eastAsia="Songti SC"/>
          <w:b/>
          <w:color w:val="2E74B5"/>
          <w:sz w:val="32"/>
        </w:rPr>
        <w:t>参考文献</w:t>
      </w:r>
    </w:p>
    <w:p w14:paraId="2DFA3039">
      <w:pPr>
        <w:spacing w:after="60" w:line="269" w:lineRule="auto"/>
        <w:ind w:left="360" w:hanging="360"/>
      </w:pPr>
      <w:r>
        <w:t>[1] Kuang H, Deng K, Wang Q, et al. Deep meta-learning approach for regional parking occupancy prediction considering heterogeneous and real-time information[J]. Advanced Engineering Informatics, 2025, 64: 102969. https://doi.org/10.1016/j.aei.2024.102969.</w:t>
      </w:r>
    </w:p>
    <w:p w14:paraId="1AC1EF11">
      <w:pPr>
        <w:spacing w:after="60" w:line="269" w:lineRule="auto"/>
        <w:ind w:left="360" w:hanging="360"/>
      </w:pPr>
      <w:r>
        <w:t>[2] Qian C, Yang K, He J, et al. Curb parking occupancy prediction based on real-time fusion of multi-view spatial-temporal information using graph attention gated networks[J]. Applied Soft Computing, 2025, 171: 112781. https://doi.org/10.1016/j.asoc.2025.112781.</w:t>
      </w:r>
    </w:p>
    <w:p w14:paraId="7D2E414D">
      <w:pPr>
        <w:spacing w:after="60" w:line="269" w:lineRule="auto"/>
        <w:ind w:left="360" w:hanging="360"/>
      </w:pPr>
      <w:r>
        <w:t>[3] Vakrinou K, Mantouka E G, Vlahogianni E I. Leveraging multisource data for off-street parking occupancy prediction: a twofold analysis[J]. International Journal of Transportation Science and Technology, 2026, 21: 352–371. https://doi.org/10.1016/j.ijtst.2025.02.005.</w:t>
      </w:r>
    </w:p>
    <w:p w14:paraId="30C719DA">
      <w:pPr>
        <w:spacing w:after="60" w:line="269" w:lineRule="auto"/>
        <w:ind w:left="360" w:hanging="360"/>
      </w:pPr>
      <w:r>
        <w:t>[4] Kaltenbrunner A, Ferrer J, Moreno D, et al. A Simple and Explainable Model for Park-and-Ride Car Park Occupancy Prediction[EB/OL]. arXiv:2503.12044, 2025.</w:t>
      </w:r>
    </w:p>
    <w:p w14:paraId="460EBBB4">
      <w:pPr>
        <w:spacing w:after="60" w:line="269" w:lineRule="auto"/>
        <w:ind w:left="360" w:hanging="360"/>
      </w:pPr>
      <w:r>
        <w:t>[5] Knights V, Petrovska O, Bunevska-Talevska J, et al. Machine Learning Models and Mathematical Approaches for Predictive IoT Smart Parking[J]. Sensors, 2025, 25: 2065. https://doi.org/10.3390/s25072065.</w:t>
      </w:r>
    </w:p>
    <w:p w14:paraId="10600275">
      <w:pPr>
        <w:spacing w:after="60" w:line="269" w:lineRule="auto"/>
        <w:ind w:left="360" w:hanging="360"/>
      </w:pPr>
      <w:r>
        <w:t>[6] Dahiya A, Mittal P, Sharma Y K, et al. Hybrid parking space prediction model: integrating ARIMA, long short-term memory (LSTM), and backpropagation neural network (BPNN) for smart city development[J]. PeerJ Computer Science, 2025, 11: e2645. https://doi.org/10.7717/peerj-cs.2645.</w:t>
      </w:r>
    </w:p>
    <w:p w14:paraId="5909BABC">
      <w:pPr>
        <w:spacing w:after="60" w:line="269" w:lineRule="auto"/>
        <w:ind w:left="360" w:hanging="360"/>
      </w:pPr>
      <w:r>
        <w:t>[7] Ye W, Kuang H, Li J, et al. A parking occupancy prediction method incorporating time series decomposition and temporal pattern attention mechanism[J]. IET Intelligent Transport Systems, 2024, 18: 58–71. https://doi.org/10.1049/itr2.12433.</w:t>
      </w:r>
    </w:p>
    <w:p w14:paraId="6321688E">
      <w:pPr>
        <w:spacing w:after="60" w:line="269" w:lineRule="auto"/>
        <w:ind w:left="360" w:hanging="360"/>
      </w:pPr>
      <w:r>
        <w:t>[8] Shao W, Zhang Y, Xiao P, et al. Transferrable contextual feature clusters for parking occupancy prediction[J]. Pervasive and Mobile Computing, 2024, 97: 101831. https://doi.org/10.1016/j.pmcj.2023.101831.</w:t>
      </w:r>
    </w:p>
    <w:p w14:paraId="10A469C0">
      <w:pPr>
        <w:spacing w:after="60" w:line="269" w:lineRule="auto"/>
        <w:ind w:left="360" w:hanging="360"/>
      </w:pPr>
      <w:r>
        <w:t>[9] Elomiya A, Krupka J, Jovcic S, et al. Enhanced prediction of parking occupancy through fusion of adaptive neuro-fuzzy inference system and deep learning models[J]. Engineering Applications of Artificial Intelligence, 2024, 129: 107670.</w:t>
      </w:r>
    </w:p>
    <w:p w14:paraId="761D11CF">
      <w:pPr>
        <w:spacing w:after="60" w:line="269" w:lineRule="auto"/>
        <w:ind w:left="360" w:hanging="360"/>
      </w:pPr>
      <w:r>
        <w:t>[10] Lyu M, Ji Y, Kuai C, et al. Short-term prediction of on-street parking occupancy using multivariate variable based on deep learning[J]. Journal of Traffic and Transportation Engineering (English Edition), 2024, 11(1): 28–40. https://doi.org/10.1016/j.jtte.2022.05.004.</w:t>
      </w:r>
    </w:p>
    <w:p w14:paraId="16A819A2">
      <w:pPr>
        <w:spacing w:after="60" w:line="269" w:lineRule="auto"/>
        <w:ind w:left="360" w:hanging="360"/>
      </w:pPr>
      <w:r>
        <w:t>[11] Gong S, Qin J, Xu H, et al. Spatio-temporal parking occupancy forecasting integrating parking sensing records and street-level images[J]. International Journal of Applied Earth Observation and Geoinformation, 2023, 118: 103290. https://doi.org/10.1016/j.jag.2023.103290.</w:t>
      </w:r>
    </w:p>
    <w:p w14:paraId="298E7F27">
      <w:pPr>
        <w:spacing w:after="60" w:line="269" w:lineRule="auto"/>
        <w:ind w:left="360" w:hanging="360"/>
      </w:pPr>
      <w:r>
        <w:t>[12] Niu Z, Hu X, Fatmi M, et al. Parking occupancy prediction under COVID-19 anti-pandemic policies: A model based on a policy-aware temporal convolutional network[J]. Transportation Research Part A, 2023, 176: 103832. https://doi.org/10.1016/j.tra.2023.103832.</w:t>
      </w:r>
    </w:p>
    <w:p w14:paraId="26A19B37">
      <w:pPr>
        <w:spacing w:after="60" w:line="269" w:lineRule="auto"/>
        <w:ind w:left="360" w:hanging="360"/>
      </w:pPr>
      <w:r>
        <w:t>[13] Mufida M K, Ait El Cadi A, Delot T, et al. Spatiotemporal Clustering of Parking Lots at the City Level for Efficiently Sharing Occupancy Forecasting Models[J]. Sensors, 2023, 23: 5248. https://doi.org/10.3390/s23115248.</w:t>
      </w:r>
    </w:p>
    <w:p w14:paraId="71D9AC8E">
      <w:pPr>
        <w:spacing w:after="60" w:line="269" w:lineRule="auto"/>
        <w:ind w:left="360" w:hanging="360"/>
      </w:pPr>
      <w:r>
        <w:t>[14] Fokker E S, Koch T, van Leeuwen M, et al. Short-Term Forecasting of Off-Street Parking Occupancy[J]. Transportation Research Record, 2022, 2676(1): 637–654. https://doi.org/10.1177/03611981211036373.</w:t>
      </w:r>
    </w:p>
    <w:p w14:paraId="7812827A">
      <w:pPr>
        <w:spacing w:after="60" w:line="269" w:lineRule="auto"/>
        <w:ind w:left="360" w:hanging="360"/>
      </w:pPr>
      <w:r>
        <w:t>[15] Feng Y, Xu Y, Hu Q, et al. Predicting vacant parking space availability zone-wisely: a hybrid deep learning approach[J]. Complex &amp; Intelligent Systems, 2022, 8: 4145–4161. https://doi.org/10.1007/s40747-022-00700-1.</w:t>
      </w:r>
    </w:p>
    <w:p w14:paraId="7E1D2536">
      <w:pPr>
        <w:spacing w:after="60" w:line="269" w:lineRule="auto"/>
        <w:ind w:left="360" w:hanging="360"/>
      </w:pPr>
      <w:r>
        <w:t>[16] Provoost J C, Kamilaris A, Wismans L J J, et al. Predicting parking occupancy via machine learning in the web of things[J]. Internet of Things, 2020, 12: 100301. https://doi.org/10.1016/j.iot.2020.100301.</w:t>
      </w:r>
    </w:p>
    <w:p w14:paraId="5FD0DC2C">
      <w:pPr>
        <w:spacing w:after="60" w:line="269" w:lineRule="auto"/>
        <w:ind w:left="360" w:hanging="360"/>
      </w:pPr>
      <w:r>
        <w:t>[17] Awan F M, Saleem Y, Minerva R, et al. A Comparative Analysis of Machine/Deep Learning Models for Parking Space Availability Prediction[J]. Sensors, 2020, 20(1): 322. https://doi.org/10.3390/s20010322.</w:t>
      </w:r>
    </w:p>
    <w:p w14:paraId="792F791B">
      <w:pPr>
        <w:spacing w:after="60" w:line="269" w:lineRule="auto"/>
        <w:ind w:left="360" w:hanging="360"/>
      </w:pPr>
      <w:r>
        <w:t>[18] Zhao Z, Zhang Y, Zhang Y. A Comparative Study of Parking Occupancy Prediction Methods considering Parking Type and Parking Scale[J]. Journal of Advanced Transportation, 2020: 5624586. https://doi.org/10.1155/2020/5624586.</w:t>
      </w:r>
    </w:p>
    <w:p w14:paraId="66836DC1">
      <w:pPr>
        <w:spacing w:after="60" w:line="269" w:lineRule="auto"/>
        <w:ind w:left="360" w:hanging="360"/>
      </w:pPr>
      <w:r>
        <w:t>[19] Yang S, Ma W, Pi X, et al. A deep learning approach to real-time parking occupancy prediction in spatio-temporal networks incorporating multiple spatio-temporal data sources[EB/OL]. arXiv:1901.06758, 2019.</w:t>
      </w:r>
    </w:p>
    <w:p w14:paraId="4BADAB37">
      <w:pPr>
        <w:spacing w:after="60" w:line="269" w:lineRule="auto"/>
        <w:ind w:left="360" w:hanging="360"/>
      </w:pPr>
      <w:r>
        <w:t>[20] Paidi V. Short-term prediction of parking availability in an open parking lot[J]. Journal of Intelligent Systems, 2022, 31: 541–554. https://doi.org/10.1515/jisys-2022-0039.</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Songti SC">
    <w:panose1 w:val="02010800040101010101"/>
    <w:charset w:val="86"/>
    <w:family w:val="auto"/>
    <w:pitch w:val="default"/>
    <w:sig w:usb0="00000001" w:usb1="080F0000" w:usb2="00000000" w:usb3="00000000" w:csb0="0004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F5517">
    <w:pPr>
      <w:pStyle w:val="24"/>
      <w:jc w:val="right"/>
    </w:pPr>
    <w:r>
      <w:rPr>
        <w:rFonts w:ascii="Calibri" w:hAnsi="Calibri" w:eastAsia="Songti SC"/>
        <w:color w:val="595959"/>
        <w:sz w:val="18"/>
      </w:rPr>
      <w:t xml:space="preserve">  |  第 </w:t>
    </w:r>
    <w:r>
      <w:fldChar w:fldCharType="begin"/>
    </w:r>
    <w:r>
      <w:instrText xml:space="preserve">PAGE</w:instrText>
    </w:r>
    <w:r>
      <w:fldChar w:fldCharType="separate"/>
    </w:r>
    <w:r>
      <w:fldChar w:fldCharType="end"/>
    </w:r>
    <w:r>
      <w:rPr>
        <w:rFonts w:ascii="Calibri" w:hAnsi="Calibri" w:eastAsia="Songti SC"/>
        <w:color w:val="595959"/>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BB383">
    <w:pPr>
      <w:pStyle w:val="25"/>
      <w:pBdr>
        <w:bottom w:val="single" w:color="D7DBE2" w:sz="4" w:space="3"/>
      </w:pBdr>
      <w:jc w:val="left"/>
    </w:pPr>
    <w:r>
      <w:rPr>
        <w:rFonts w:ascii="Calibri" w:hAnsi="Calibri" w:eastAsia="Songti SC"/>
        <w:color w:val="595959"/>
        <w:sz w:val="17"/>
      </w:rPr>
      <w:t>研究计划报告  |  新西兰城市路侧停车短期预测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D3ECB8"/>
    <w:rsid w:val="E3CAFE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320" w:lineRule="auto"/>
      <w:jc w:val="both"/>
    </w:pPr>
    <w:rPr>
      <w:rFonts w:ascii="Calibri" w:hAnsi="Calibri" w:eastAsia="Songti SC" w:cstheme="minorBidi"/>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290" w:lineRule="auto"/>
      <w:contextualSpacing/>
    </w:pPr>
    <w:rPr>
      <w:rFonts w:ascii="Calibri" w:hAnsi="Calibri" w:eastAsia="Songti SC"/>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290" w:lineRule="auto"/>
      <w:contextualSpacing/>
    </w:pPr>
    <w:rPr>
      <w:rFonts w:ascii="Calibri" w:hAnsi="Calibri" w:eastAsia="Songti SC"/>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33</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白了青春不负敬亭</dc:creator>
  <dc:description>依据提供论文及其20篇参考文献改写；不含实验结果。</dc:description>
  <cp:lastModifiedBy>白了青春不负敬亭</cp:lastModifiedBy>
  <dcterms:modified xsi:type="dcterms:W3CDTF">2026-08-22T14:46:46Z</dcterms:modified>
  <dc:subject>基于多源时空数据的车位占用状态短期预测研究计划</dc:subject>
  <dc:title>新西兰城市路侧停车短期预测研究计划报告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295C34780EC8C767960D896A9F8D4F40_43</vt:lpwstr>
  </property>
</Properties>
</file>