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5772"/>
        <w:gridCol w:w="512"/>
        <w:gridCol w:w="523"/>
        <w:gridCol w:w="523"/>
        <w:gridCol w:w="589"/>
      </w:tblGrid>
      <w:tr w:rsidR="00D1153E" w:rsidRPr="000C6AC0" w:rsidTr="002604F2">
        <w:trPr>
          <w:trHeight w:val="300"/>
        </w:trPr>
        <w:tc>
          <w:tcPr>
            <w:tcW w:w="1429" w:type="dxa"/>
          </w:tcPr>
          <w:p w:rsidR="00D1153E" w:rsidRPr="000C6AC0" w:rsidRDefault="00D1153E" w:rsidP="001E589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Category</w:t>
            </w:r>
          </w:p>
        </w:tc>
        <w:tc>
          <w:tcPr>
            <w:tcW w:w="5775"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Description</w:t>
            </w: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2</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1</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0</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b/>
                <w:bCs/>
                <w:color w:val="000000"/>
              </w:rPr>
            </w:pPr>
            <w:r w:rsidRPr="000C6AC0">
              <w:rPr>
                <w:rFonts w:ascii="Calibri" w:eastAsia="Times New Roman" w:hAnsi="Calibri" w:cs="Calibri"/>
                <w:b/>
                <w:bCs/>
                <w:color w:val="000000"/>
              </w:rPr>
              <w:t>N/A</w:t>
            </w:r>
          </w:p>
        </w:tc>
      </w:tr>
      <w:tr w:rsidR="00D1153E" w:rsidRPr="000C6AC0" w:rsidTr="002604F2">
        <w:trPr>
          <w:trHeight w:val="1500"/>
        </w:trPr>
        <w:tc>
          <w:tcPr>
            <w:tcW w:w="1429" w:type="dxa"/>
            <w:vMerge w:val="restart"/>
          </w:tcPr>
          <w:p w:rsidR="00D1153E" w:rsidRPr="000C6AC0" w:rsidRDefault="00D1153E" w:rsidP="001E589A">
            <w:pPr>
              <w:spacing w:after="0" w:line="240" w:lineRule="auto"/>
              <w:rPr>
                <w:rFonts w:ascii="Calibri" w:eastAsia="Times New Roman" w:hAnsi="Calibri" w:cs="Calibri"/>
                <w:b/>
                <w:bCs/>
                <w:color w:val="000000"/>
              </w:rPr>
            </w:pPr>
            <w:r>
              <w:rPr>
                <w:rFonts w:ascii="Calibri" w:eastAsia="Times New Roman" w:hAnsi="Calibri" w:cs="Calibri" w:hint="eastAsia"/>
                <w:b/>
                <w:bCs/>
                <w:color w:val="000000"/>
              </w:rPr>
              <w:t>Over</w:t>
            </w:r>
            <w:r>
              <w:rPr>
                <w:rFonts w:ascii="Calibri" w:eastAsia="Times New Roman" w:hAnsi="Calibri" w:cs="Calibri"/>
                <w:b/>
                <w:bCs/>
                <w:color w:val="000000"/>
              </w:rPr>
              <w:t>all</w:t>
            </w:r>
          </w:p>
        </w:tc>
        <w:tc>
          <w:tcPr>
            <w:tcW w:w="5775" w:type="dxa"/>
            <w:shd w:val="clear" w:color="auto" w:fill="auto"/>
            <w:vAlign w:val="center"/>
            <w:hideMark/>
          </w:tcPr>
          <w:p w:rsidR="00D1153E" w:rsidRPr="002604F2" w:rsidRDefault="002604F2" w:rsidP="002604F2">
            <w:pPr>
              <w:spacing w:after="0" w:line="240" w:lineRule="auto"/>
              <w:rPr>
                <w:rFonts w:ascii="Calibri" w:eastAsia="Times New Roman" w:hAnsi="Calibri" w:cs="Calibri"/>
                <w:b/>
                <w:bCs/>
                <w:color w:val="000000"/>
              </w:rPr>
            </w:pPr>
            <w:r>
              <w:rPr>
                <w:rFonts w:ascii="Calibri" w:eastAsia="Times New Roman" w:hAnsi="Calibri" w:cs="Calibri"/>
                <w:b/>
                <w:bCs/>
                <w:color w:val="000000"/>
              </w:rPr>
              <w:t>1.</w:t>
            </w:r>
            <w:r w:rsidR="00D1153E" w:rsidRPr="002604F2">
              <w:rPr>
                <w:rFonts w:ascii="Calibri" w:eastAsia="Times New Roman" w:hAnsi="Calibri" w:cs="Calibri"/>
                <w:b/>
                <w:bCs/>
                <w:color w:val="000000"/>
              </w:rPr>
              <w:t xml:space="preserve">The type of graph is appropriate for data: </w:t>
            </w:r>
            <w:r w:rsidR="00D1153E" w:rsidRPr="002604F2">
              <w:rPr>
                <w:rFonts w:ascii="Calibri" w:eastAsia="Times New Roman" w:hAnsi="Calibri" w:cs="Calibri"/>
                <w:b/>
                <w:bCs/>
                <w:color w:val="000000"/>
              </w:rPr>
              <w:br/>
            </w:r>
            <w:r w:rsidR="00D1153E" w:rsidRPr="002604F2">
              <w:rPr>
                <w:rFonts w:ascii="Calibri" w:eastAsia="Times New Roman" w:hAnsi="Calibri" w:cs="Calibri"/>
                <w:color w:val="000000"/>
              </w:rPr>
              <w:t>Data are displayed using a graph type appropriate for the relationship within the data. For example, change over time is displayed as a line graph, area chart, slope graph, or dot plot.</w:t>
            </w: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D1153E" w:rsidRPr="000C6AC0" w:rsidTr="002604F2">
        <w:trPr>
          <w:trHeight w:val="1800"/>
        </w:trPr>
        <w:tc>
          <w:tcPr>
            <w:tcW w:w="1429" w:type="dxa"/>
            <w:vMerge/>
          </w:tcPr>
          <w:p w:rsidR="00D1153E" w:rsidRDefault="00D1153E" w:rsidP="00D1153E">
            <w:pPr>
              <w:spacing w:after="0" w:line="240" w:lineRule="auto"/>
            </w:pPr>
          </w:p>
        </w:tc>
        <w:tc>
          <w:tcPr>
            <w:tcW w:w="5775" w:type="dxa"/>
            <w:shd w:val="clear" w:color="auto" w:fill="auto"/>
            <w:vAlign w:val="center"/>
            <w:hideMark/>
          </w:tcPr>
          <w:p w:rsidR="00D1153E" w:rsidRDefault="002604F2" w:rsidP="00D1153E">
            <w:pPr>
              <w:spacing w:after="0" w:line="240" w:lineRule="auto"/>
              <w:rPr>
                <w:sz w:val="24"/>
                <w:szCs w:val="24"/>
              </w:rPr>
            </w:pPr>
            <w:r w:rsidRPr="002604F2">
              <w:rPr>
                <w:b/>
              </w:rPr>
              <w:t>2.</w:t>
            </w:r>
            <w:r w:rsidR="00D1153E" w:rsidRPr="002604F2">
              <w:rPr>
                <w:b/>
              </w:rPr>
              <w:t>Graph has appropriate level of precision</w:t>
            </w:r>
            <w:r w:rsidR="00D1153E" w:rsidRPr="002604F2">
              <w:rPr>
                <w:b/>
              </w:rPr>
              <w:t>:</w:t>
            </w:r>
            <w:r w:rsidR="00D1153E" w:rsidRPr="000C6AC0">
              <w:rPr>
                <w:rFonts w:ascii="Calibri" w:eastAsia="Times New Roman" w:hAnsi="Calibri" w:cs="Calibri"/>
                <w:b/>
                <w:bCs/>
                <w:color w:val="000000"/>
              </w:rPr>
              <w:br/>
            </w:r>
            <w:r w:rsidR="00D1153E">
              <w:t>Use a level of precision that meets your audiences’ needs. Few numeric labels need decimal places, unless you are speaking with academic peers. Charts intended for public consumption rarely need p values listed.</w:t>
            </w:r>
          </w:p>
          <w:p w:rsidR="00D1153E" w:rsidRPr="00D1153E" w:rsidRDefault="00D1153E" w:rsidP="001E589A">
            <w:pPr>
              <w:spacing w:after="0" w:line="240" w:lineRule="auto"/>
              <w:rPr>
                <w:sz w:val="24"/>
                <w:szCs w:val="24"/>
              </w:rPr>
            </w:pP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D1153E" w:rsidRPr="000C6AC0" w:rsidTr="002604F2">
        <w:trPr>
          <w:trHeight w:val="1500"/>
        </w:trPr>
        <w:tc>
          <w:tcPr>
            <w:tcW w:w="1429" w:type="dxa"/>
            <w:vMerge/>
          </w:tcPr>
          <w:p w:rsidR="00D1153E" w:rsidRDefault="00D1153E" w:rsidP="00D1153E">
            <w:pPr>
              <w:spacing w:after="0" w:line="240" w:lineRule="auto"/>
            </w:pPr>
          </w:p>
        </w:tc>
        <w:tc>
          <w:tcPr>
            <w:tcW w:w="5775" w:type="dxa"/>
            <w:shd w:val="clear" w:color="auto" w:fill="auto"/>
            <w:vAlign w:val="center"/>
            <w:hideMark/>
          </w:tcPr>
          <w:p w:rsidR="00D1153E" w:rsidRPr="002604F2" w:rsidRDefault="002604F2" w:rsidP="00D1153E">
            <w:pPr>
              <w:spacing w:after="0" w:line="240" w:lineRule="auto"/>
              <w:rPr>
                <w:b/>
                <w:sz w:val="24"/>
                <w:szCs w:val="24"/>
              </w:rPr>
            </w:pPr>
            <w:r w:rsidRPr="002604F2">
              <w:rPr>
                <w:b/>
              </w:rPr>
              <w:t>3.</w:t>
            </w:r>
            <w:r w:rsidR="00D1153E" w:rsidRPr="002604F2">
              <w:rPr>
                <w:b/>
              </w:rPr>
              <w:t>Graph highlights significant finding or conclusion</w:t>
            </w:r>
            <w:r w:rsidR="00D1153E" w:rsidRPr="002604F2">
              <w:rPr>
                <w:b/>
              </w:rPr>
              <w:t>:</w:t>
            </w:r>
          </w:p>
          <w:p w:rsidR="00D1153E" w:rsidRDefault="00D1153E" w:rsidP="00D1153E">
            <w:pPr>
              <w:spacing w:after="0" w:line="240" w:lineRule="auto"/>
              <w:rPr>
                <w:sz w:val="24"/>
                <w:szCs w:val="24"/>
              </w:rPr>
            </w:pPr>
            <w:r>
              <w:t>Graphs should have a "so what?" – either a practical or statistical significance (or both) to warrant their presence. For example, contextualized or comparison data help the viewer understand the significance of the data and give the graph more interpretive power</w:t>
            </w:r>
          </w:p>
          <w:p w:rsidR="00D1153E" w:rsidRPr="000C6AC0" w:rsidRDefault="00D1153E"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D1153E" w:rsidRPr="000C6AC0" w:rsidTr="002604F2">
        <w:trPr>
          <w:trHeight w:val="900"/>
        </w:trPr>
        <w:tc>
          <w:tcPr>
            <w:tcW w:w="1429" w:type="dxa"/>
            <w:vMerge w:val="restart"/>
          </w:tcPr>
          <w:p w:rsidR="00D1153E" w:rsidRPr="000C6AC0" w:rsidRDefault="00D1153E" w:rsidP="001E589A">
            <w:pPr>
              <w:spacing w:after="0" w:line="240" w:lineRule="auto"/>
              <w:rPr>
                <w:rFonts w:ascii="Calibri" w:eastAsia="Times New Roman" w:hAnsi="Calibri" w:cs="Calibri"/>
                <w:b/>
                <w:bCs/>
                <w:color w:val="000000"/>
              </w:rPr>
            </w:pPr>
            <w:r>
              <w:rPr>
                <w:rFonts w:ascii="Calibri" w:eastAsia="Times New Roman" w:hAnsi="Calibri" w:cs="Calibri"/>
                <w:b/>
                <w:bCs/>
                <w:color w:val="000000"/>
              </w:rPr>
              <w:t>Arrangement</w:t>
            </w:r>
          </w:p>
        </w:tc>
        <w:tc>
          <w:tcPr>
            <w:tcW w:w="5775" w:type="dxa"/>
            <w:shd w:val="clear" w:color="auto" w:fill="auto"/>
            <w:vAlign w:val="center"/>
            <w:hideMark/>
          </w:tcPr>
          <w:p w:rsidR="00D1153E" w:rsidRPr="002604F2" w:rsidRDefault="002604F2" w:rsidP="00D1153E">
            <w:pPr>
              <w:spacing w:after="0" w:line="240" w:lineRule="auto"/>
              <w:rPr>
                <w:b/>
                <w:sz w:val="24"/>
                <w:szCs w:val="24"/>
              </w:rPr>
            </w:pPr>
            <w:r w:rsidRPr="002604F2">
              <w:rPr>
                <w:b/>
              </w:rPr>
              <w:t>4.</w:t>
            </w:r>
            <w:r w:rsidR="00D1153E" w:rsidRPr="002604F2">
              <w:rPr>
                <w:b/>
              </w:rPr>
              <w:t>Data are intentionally ordered</w:t>
            </w:r>
          </w:p>
          <w:p w:rsidR="00D1153E" w:rsidRDefault="00D1153E" w:rsidP="00D1153E">
            <w:pPr>
              <w:spacing w:after="0" w:line="240" w:lineRule="auto"/>
              <w:rPr>
                <w:sz w:val="24"/>
                <w:szCs w:val="24"/>
              </w:rPr>
            </w:pPr>
            <w:r>
              <w:t>Data should be displayed in an order that makes logical sense to the viewer. Data may be ordered by frequency counts (e.g., from greatest to least for nominal categories), by groupings or bins (e.g., histograms), by time period (e.g., line charts), alphabetically, etc. Use an order that supports interpretation of the data.</w:t>
            </w:r>
          </w:p>
          <w:p w:rsidR="00D1153E" w:rsidRPr="000C6AC0" w:rsidRDefault="00D1153E"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D1153E" w:rsidRPr="000C6AC0" w:rsidTr="002604F2">
        <w:trPr>
          <w:trHeight w:val="1200"/>
        </w:trPr>
        <w:tc>
          <w:tcPr>
            <w:tcW w:w="1429" w:type="dxa"/>
            <w:vMerge/>
          </w:tcPr>
          <w:p w:rsidR="00D1153E" w:rsidRPr="000C6AC0" w:rsidRDefault="00D1153E" w:rsidP="001E589A">
            <w:pPr>
              <w:spacing w:after="0" w:line="240" w:lineRule="auto"/>
              <w:rPr>
                <w:rFonts w:ascii="Calibri" w:eastAsia="Times New Roman" w:hAnsi="Calibri" w:cs="Calibri"/>
                <w:b/>
                <w:bCs/>
                <w:color w:val="000000"/>
              </w:rPr>
            </w:pPr>
          </w:p>
        </w:tc>
        <w:tc>
          <w:tcPr>
            <w:tcW w:w="5775" w:type="dxa"/>
            <w:shd w:val="clear" w:color="auto" w:fill="auto"/>
            <w:vAlign w:val="center"/>
            <w:hideMark/>
          </w:tcPr>
          <w:p w:rsidR="00D1153E" w:rsidRPr="002604F2" w:rsidRDefault="002604F2" w:rsidP="00D1153E">
            <w:pPr>
              <w:spacing w:after="0" w:line="240" w:lineRule="auto"/>
              <w:rPr>
                <w:b/>
                <w:sz w:val="24"/>
                <w:szCs w:val="24"/>
              </w:rPr>
            </w:pPr>
            <w:r w:rsidRPr="002604F2">
              <w:rPr>
                <w:b/>
              </w:rPr>
              <w:t>5.</w:t>
            </w:r>
            <w:r w:rsidR="00D1153E" w:rsidRPr="002604F2">
              <w:rPr>
                <w:b/>
              </w:rPr>
              <w:t>Proportions are accurate</w:t>
            </w:r>
            <w:r w:rsidR="00D1153E" w:rsidRPr="000C6AC0">
              <w:rPr>
                <w:rFonts w:ascii="Calibri" w:eastAsia="Times New Roman" w:hAnsi="Calibri" w:cs="Calibri"/>
                <w:color w:val="000000"/>
              </w:rPr>
              <w:br/>
            </w:r>
            <w:r w:rsidR="00D1153E">
              <w:t>A viewer should be able measure the length or area of the graph with a ruler and find that it matches the relationship in the underlying data. Y-axis scales should be appropriate. Bar charts start axes at 0.</w:t>
            </w:r>
          </w:p>
          <w:p w:rsidR="00D1153E" w:rsidRPr="000C6AC0" w:rsidRDefault="00D1153E"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D1153E" w:rsidRPr="000C6AC0" w:rsidTr="002604F2">
        <w:trPr>
          <w:trHeight w:val="1200"/>
        </w:trPr>
        <w:tc>
          <w:tcPr>
            <w:tcW w:w="1429" w:type="dxa"/>
            <w:vMerge/>
          </w:tcPr>
          <w:p w:rsidR="00D1153E" w:rsidRPr="000C6AC0" w:rsidRDefault="00D1153E" w:rsidP="001E589A">
            <w:pPr>
              <w:spacing w:after="0" w:line="240" w:lineRule="auto"/>
              <w:rPr>
                <w:rFonts w:ascii="Calibri" w:eastAsia="Times New Roman" w:hAnsi="Calibri" w:cs="Calibri"/>
                <w:b/>
                <w:bCs/>
                <w:color w:val="000000"/>
              </w:rPr>
            </w:pPr>
          </w:p>
        </w:tc>
        <w:tc>
          <w:tcPr>
            <w:tcW w:w="5775" w:type="dxa"/>
            <w:shd w:val="clear" w:color="auto" w:fill="auto"/>
            <w:vAlign w:val="center"/>
            <w:hideMark/>
          </w:tcPr>
          <w:p w:rsidR="00D1153E" w:rsidRPr="002604F2" w:rsidRDefault="002604F2" w:rsidP="00D1153E">
            <w:pPr>
              <w:spacing w:after="0" w:line="240" w:lineRule="auto"/>
              <w:rPr>
                <w:b/>
                <w:sz w:val="24"/>
                <w:szCs w:val="24"/>
              </w:rPr>
            </w:pPr>
            <w:r w:rsidRPr="002604F2">
              <w:rPr>
                <w:b/>
              </w:rPr>
              <w:t xml:space="preserve">6. </w:t>
            </w:r>
            <w:r w:rsidR="00D1153E" w:rsidRPr="002604F2">
              <w:rPr>
                <w:b/>
              </w:rPr>
              <w:t>Axis intervals are equidistant</w:t>
            </w:r>
          </w:p>
          <w:p w:rsidR="00D1153E" w:rsidRDefault="00D1153E" w:rsidP="00D1153E">
            <w:pPr>
              <w:spacing w:after="0" w:line="240" w:lineRule="auto"/>
              <w:rPr>
                <w:sz w:val="24"/>
                <w:szCs w:val="24"/>
              </w:rPr>
            </w:pPr>
            <w:r>
              <w:t>The spaces between axis intervals should be the same unit, even if every axis interval isn’t labeled. Irregular data collection periods can be noted with markers on a line graph, for example.</w:t>
            </w:r>
          </w:p>
          <w:p w:rsidR="00D1153E" w:rsidRPr="000C6AC0" w:rsidRDefault="00D1153E"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D1153E" w:rsidRPr="000C6AC0" w:rsidRDefault="00D1153E"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2604F2" w:rsidRPr="000C6AC0" w:rsidTr="002604F2">
        <w:trPr>
          <w:trHeight w:val="1200"/>
        </w:trPr>
        <w:tc>
          <w:tcPr>
            <w:tcW w:w="1429" w:type="dxa"/>
            <w:vMerge w:val="restart"/>
          </w:tcPr>
          <w:p w:rsidR="002604F2" w:rsidRPr="000C6AC0" w:rsidRDefault="002604F2" w:rsidP="001E589A">
            <w:pPr>
              <w:spacing w:after="0" w:line="240" w:lineRule="auto"/>
              <w:rPr>
                <w:rFonts w:ascii="Calibri" w:eastAsia="Times New Roman" w:hAnsi="Calibri" w:cs="Calibri"/>
                <w:b/>
                <w:bCs/>
                <w:color w:val="000000"/>
              </w:rPr>
            </w:pPr>
            <w:r>
              <w:rPr>
                <w:rFonts w:ascii="Calibri" w:eastAsia="Times New Roman" w:hAnsi="Calibri" w:cs="Calibri" w:hint="eastAsia"/>
                <w:b/>
                <w:bCs/>
                <w:color w:val="000000"/>
              </w:rPr>
              <w:t>Lines</w:t>
            </w:r>
          </w:p>
        </w:tc>
        <w:tc>
          <w:tcPr>
            <w:tcW w:w="5775" w:type="dxa"/>
            <w:shd w:val="clear" w:color="auto" w:fill="auto"/>
            <w:vAlign w:val="center"/>
            <w:hideMark/>
          </w:tcPr>
          <w:p w:rsidR="002604F2" w:rsidRPr="002604F2" w:rsidRDefault="002604F2" w:rsidP="002604F2">
            <w:pPr>
              <w:spacing w:after="0" w:line="240" w:lineRule="auto"/>
              <w:rPr>
                <w:b/>
                <w:sz w:val="24"/>
                <w:szCs w:val="24"/>
              </w:rPr>
            </w:pPr>
            <w:r w:rsidRPr="002604F2">
              <w:rPr>
                <w:b/>
              </w:rPr>
              <w:t xml:space="preserve">7. </w:t>
            </w:r>
            <w:r w:rsidRPr="002604F2">
              <w:rPr>
                <w:b/>
              </w:rPr>
              <w:t>Graph does not have border line</w:t>
            </w:r>
            <w:r w:rsidRPr="000C6AC0">
              <w:rPr>
                <w:rFonts w:ascii="Calibri" w:eastAsia="Times New Roman" w:hAnsi="Calibri" w:cs="Calibri"/>
                <w:color w:val="000000"/>
              </w:rPr>
              <w:br/>
            </w:r>
            <w:r>
              <w:t>Graph should bleed into the surrounding page or slide rather than being contained by a border.</w:t>
            </w:r>
          </w:p>
          <w:p w:rsidR="002604F2" w:rsidRPr="000C6AC0" w:rsidRDefault="002604F2"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2604F2" w:rsidRPr="000C6AC0" w:rsidTr="002604F2">
        <w:trPr>
          <w:trHeight w:val="1590"/>
        </w:trPr>
        <w:tc>
          <w:tcPr>
            <w:tcW w:w="1429" w:type="dxa"/>
            <w:vMerge/>
          </w:tcPr>
          <w:p w:rsidR="002604F2" w:rsidRPr="000C6AC0" w:rsidRDefault="002604F2" w:rsidP="001E589A">
            <w:pPr>
              <w:spacing w:after="0" w:line="240" w:lineRule="auto"/>
              <w:rPr>
                <w:rFonts w:ascii="Calibri" w:eastAsia="Times New Roman" w:hAnsi="Calibri" w:cs="Calibri"/>
                <w:b/>
                <w:bCs/>
                <w:color w:val="000000"/>
              </w:rPr>
            </w:pPr>
          </w:p>
        </w:tc>
        <w:tc>
          <w:tcPr>
            <w:tcW w:w="5775" w:type="dxa"/>
            <w:shd w:val="clear" w:color="auto" w:fill="auto"/>
            <w:vAlign w:val="center"/>
            <w:hideMark/>
          </w:tcPr>
          <w:p w:rsidR="002604F2" w:rsidRPr="002604F2" w:rsidRDefault="002604F2" w:rsidP="002604F2">
            <w:pPr>
              <w:spacing w:after="0" w:line="240" w:lineRule="auto"/>
              <w:rPr>
                <w:b/>
                <w:sz w:val="24"/>
                <w:szCs w:val="24"/>
              </w:rPr>
            </w:pPr>
            <w:r w:rsidRPr="002604F2">
              <w:rPr>
                <w:b/>
              </w:rPr>
              <w:t xml:space="preserve">8. </w:t>
            </w:r>
            <w:r w:rsidRPr="002604F2">
              <w:rPr>
                <w:b/>
              </w:rPr>
              <w:t>Graph has one horizontal and one vertical axis</w:t>
            </w:r>
            <w:r w:rsidRPr="000C6AC0">
              <w:rPr>
                <w:rFonts w:ascii="Calibri" w:eastAsia="Times New Roman" w:hAnsi="Calibri" w:cs="Calibri"/>
                <w:b/>
                <w:bCs/>
                <w:color w:val="000000"/>
              </w:rPr>
              <w:br/>
            </w:r>
            <w:r>
              <w:t>Viewers can best interpret one x- and one y-axis. Don’t add a second y-axis. Try a connected scatter plot or two graphs, side by side, instead.</w:t>
            </w:r>
          </w:p>
          <w:p w:rsidR="002604F2" w:rsidRPr="000C6AC0" w:rsidRDefault="002604F2" w:rsidP="001E589A">
            <w:pPr>
              <w:spacing w:after="0" w:line="240" w:lineRule="auto"/>
              <w:rPr>
                <w:rFonts w:ascii="Calibri" w:eastAsia="Times New Roman" w:hAnsi="Calibri" w:cs="Calibri"/>
                <w:b/>
                <w:bCs/>
                <w:color w:val="000000"/>
              </w:rPr>
            </w:pPr>
          </w:p>
        </w:tc>
        <w:tc>
          <w:tcPr>
            <w:tcW w:w="512"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2604F2" w:rsidRPr="000C6AC0" w:rsidTr="002604F2">
        <w:trPr>
          <w:trHeight w:val="1500"/>
        </w:trPr>
        <w:tc>
          <w:tcPr>
            <w:tcW w:w="1429" w:type="dxa"/>
            <w:vMerge w:val="restart"/>
          </w:tcPr>
          <w:p w:rsidR="002604F2" w:rsidRPr="000C6AC0" w:rsidRDefault="002604F2" w:rsidP="001E589A">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Color</w:t>
            </w:r>
          </w:p>
        </w:tc>
        <w:tc>
          <w:tcPr>
            <w:tcW w:w="5775" w:type="dxa"/>
            <w:shd w:val="clear" w:color="auto" w:fill="auto"/>
            <w:vAlign w:val="center"/>
            <w:hideMark/>
          </w:tcPr>
          <w:p w:rsidR="002604F2" w:rsidRPr="002604F2" w:rsidRDefault="002604F2" w:rsidP="002604F2">
            <w:pPr>
              <w:spacing w:after="0" w:line="240" w:lineRule="auto"/>
              <w:rPr>
                <w:b/>
                <w:sz w:val="24"/>
                <w:szCs w:val="24"/>
              </w:rPr>
            </w:pPr>
            <w:r w:rsidRPr="002604F2">
              <w:rPr>
                <w:b/>
              </w:rPr>
              <w:t xml:space="preserve">9. </w:t>
            </w:r>
            <w:r w:rsidRPr="002604F2">
              <w:rPr>
                <w:b/>
              </w:rPr>
              <w:t>Color scheme is intentional</w:t>
            </w:r>
          </w:p>
          <w:p w:rsidR="002604F2" w:rsidRDefault="002604F2" w:rsidP="002604F2">
            <w:pPr>
              <w:spacing w:after="0" w:line="240" w:lineRule="auto"/>
              <w:rPr>
                <w:sz w:val="24"/>
                <w:szCs w:val="24"/>
              </w:rPr>
            </w:pPr>
            <w:r>
              <w:t xml:space="preserve">Colors should represent brand or other intentional choice, not default color schemes. Use your organization’s colors or your client’s colors. Work with online tools to identify brand colors </w:t>
            </w:r>
            <w:bookmarkStart w:id="0" w:name="_GoBack"/>
            <w:bookmarkEnd w:id="0"/>
            <w:r>
              <w:t>and others that are compatible.</w:t>
            </w:r>
          </w:p>
          <w:p w:rsidR="002604F2" w:rsidRPr="000C6AC0" w:rsidRDefault="002604F2"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r w:rsidR="002604F2" w:rsidRPr="000C6AC0" w:rsidTr="002604F2">
        <w:trPr>
          <w:trHeight w:val="1335"/>
        </w:trPr>
        <w:tc>
          <w:tcPr>
            <w:tcW w:w="1429" w:type="dxa"/>
            <w:vMerge/>
          </w:tcPr>
          <w:p w:rsidR="002604F2" w:rsidRPr="000C6AC0" w:rsidRDefault="002604F2" w:rsidP="001E589A">
            <w:pPr>
              <w:spacing w:after="0" w:line="240" w:lineRule="auto"/>
              <w:rPr>
                <w:rFonts w:ascii="Calibri" w:eastAsia="Times New Roman" w:hAnsi="Calibri" w:cs="Calibri"/>
                <w:b/>
                <w:bCs/>
                <w:color w:val="000000"/>
              </w:rPr>
            </w:pPr>
          </w:p>
        </w:tc>
        <w:tc>
          <w:tcPr>
            <w:tcW w:w="5775" w:type="dxa"/>
            <w:shd w:val="clear" w:color="auto" w:fill="auto"/>
            <w:vAlign w:val="center"/>
            <w:hideMark/>
          </w:tcPr>
          <w:p w:rsidR="002604F2" w:rsidRPr="002604F2" w:rsidRDefault="002604F2" w:rsidP="002604F2">
            <w:pPr>
              <w:spacing w:after="0" w:line="240" w:lineRule="auto"/>
              <w:rPr>
                <w:b/>
                <w:sz w:val="24"/>
                <w:szCs w:val="24"/>
              </w:rPr>
            </w:pPr>
            <w:r w:rsidRPr="002604F2">
              <w:rPr>
                <w:b/>
              </w:rPr>
              <w:t xml:space="preserve">10. </w:t>
            </w:r>
            <w:r w:rsidRPr="002604F2">
              <w:rPr>
                <w:b/>
              </w:rPr>
              <w:t xml:space="preserve">Color is used to highlight key patterns </w:t>
            </w:r>
          </w:p>
          <w:p w:rsidR="002604F2" w:rsidRDefault="002604F2" w:rsidP="002604F2">
            <w:pPr>
              <w:spacing w:after="0" w:line="240" w:lineRule="auto"/>
              <w:rPr>
                <w:sz w:val="24"/>
                <w:szCs w:val="24"/>
              </w:rPr>
            </w:pPr>
            <w:r>
              <w:t>Action colors should guide the viewer to key parts of the display. Less important, supporting, or comparison data should be a muted color, like gray</w:t>
            </w:r>
          </w:p>
          <w:p w:rsidR="002604F2" w:rsidRPr="000C6AC0" w:rsidRDefault="002604F2" w:rsidP="001E589A">
            <w:pPr>
              <w:spacing w:after="0" w:line="240" w:lineRule="auto"/>
              <w:rPr>
                <w:rFonts w:ascii="Calibri" w:eastAsia="Times New Roman" w:hAnsi="Calibri" w:cs="Calibri"/>
                <w:color w:val="000000"/>
              </w:rPr>
            </w:pPr>
          </w:p>
        </w:tc>
        <w:tc>
          <w:tcPr>
            <w:tcW w:w="512"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23"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c>
          <w:tcPr>
            <w:tcW w:w="588" w:type="dxa"/>
            <w:shd w:val="clear" w:color="auto" w:fill="auto"/>
            <w:noWrap/>
            <w:vAlign w:val="center"/>
            <w:hideMark/>
          </w:tcPr>
          <w:p w:rsidR="002604F2" w:rsidRPr="000C6AC0" w:rsidRDefault="002604F2" w:rsidP="001E589A">
            <w:pPr>
              <w:spacing w:after="0" w:line="240" w:lineRule="auto"/>
              <w:jc w:val="center"/>
              <w:rPr>
                <w:rFonts w:ascii="Calibri" w:eastAsia="Times New Roman" w:hAnsi="Calibri" w:cs="Calibri"/>
                <w:color w:val="000000"/>
              </w:rPr>
            </w:pPr>
            <w:r w:rsidRPr="000C6AC0">
              <w:rPr>
                <w:rFonts w:ascii="Calibri" w:eastAsia="Times New Roman" w:hAnsi="Calibri" w:cs="Calibri"/>
                <w:color w:val="000000"/>
              </w:rPr>
              <w:t> </w:t>
            </w:r>
          </w:p>
        </w:tc>
      </w:tr>
    </w:tbl>
    <w:p w:rsidR="00A233C3" w:rsidRDefault="002604F2"/>
    <w:sectPr w:rsidR="00A23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D649F"/>
    <w:multiLevelType w:val="hybridMultilevel"/>
    <w:tmpl w:val="F4D40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3E"/>
    <w:rsid w:val="002604F2"/>
    <w:rsid w:val="002E75E5"/>
    <w:rsid w:val="003A64C4"/>
    <w:rsid w:val="00672C64"/>
    <w:rsid w:val="006F0346"/>
    <w:rsid w:val="00B755E5"/>
    <w:rsid w:val="00D1153E"/>
    <w:rsid w:val="00F46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31D4"/>
  <w15:chartTrackingRefBased/>
  <w15:docId w15:val="{0CD57E16-E455-CD4A-A7C2-9398642C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3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0660">
      <w:bodyDiv w:val="1"/>
      <w:marLeft w:val="0"/>
      <w:marRight w:val="0"/>
      <w:marTop w:val="0"/>
      <w:marBottom w:val="0"/>
      <w:divBdr>
        <w:top w:val="none" w:sz="0" w:space="0" w:color="auto"/>
        <w:left w:val="none" w:sz="0" w:space="0" w:color="auto"/>
        <w:bottom w:val="none" w:sz="0" w:space="0" w:color="auto"/>
        <w:right w:val="none" w:sz="0" w:space="0" w:color="auto"/>
      </w:divBdr>
    </w:div>
    <w:div w:id="195703681">
      <w:bodyDiv w:val="1"/>
      <w:marLeft w:val="0"/>
      <w:marRight w:val="0"/>
      <w:marTop w:val="0"/>
      <w:marBottom w:val="0"/>
      <w:divBdr>
        <w:top w:val="none" w:sz="0" w:space="0" w:color="auto"/>
        <w:left w:val="none" w:sz="0" w:space="0" w:color="auto"/>
        <w:bottom w:val="none" w:sz="0" w:space="0" w:color="auto"/>
        <w:right w:val="none" w:sz="0" w:space="0" w:color="auto"/>
      </w:divBdr>
    </w:div>
    <w:div w:id="331489548">
      <w:bodyDiv w:val="1"/>
      <w:marLeft w:val="0"/>
      <w:marRight w:val="0"/>
      <w:marTop w:val="0"/>
      <w:marBottom w:val="0"/>
      <w:divBdr>
        <w:top w:val="none" w:sz="0" w:space="0" w:color="auto"/>
        <w:left w:val="none" w:sz="0" w:space="0" w:color="auto"/>
        <w:bottom w:val="none" w:sz="0" w:space="0" w:color="auto"/>
        <w:right w:val="none" w:sz="0" w:space="0" w:color="auto"/>
      </w:divBdr>
    </w:div>
    <w:div w:id="434906663">
      <w:bodyDiv w:val="1"/>
      <w:marLeft w:val="0"/>
      <w:marRight w:val="0"/>
      <w:marTop w:val="0"/>
      <w:marBottom w:val="0"/>
      <w:divBdr>
        <w:top w:val="none" w:sz="0" w:space="0" w:color="auto"/>
        <w:left w:val="none" w:sz="0" w:space="0" w:color="auto"/>
        <w:bottom w:val="none" w:sz="0" w:space="0" w:color="auto"/>
        <w:right w:val="none" w:sz="0" w:space="0" w:color="auto"/>
      </w:divBdr>
    </w:div>
    <w:div w:id="477259986">
      <w:bodyDiv w:val="1"/>
      <w:marLeft w:val="0"/>
      <w:marRight w:val="0"/>
      <w:marTop w:val="0"/>
      <w:marBottom w:val="0"/>
      <w:divBdr>
        <w:top w:val="none" w:sz="0" w:space="0" w:color="auto"/>
        <w:left w:val="none" w:sz="0" w:space="0" w:color="auto"/>
        <w:bottom w:val="none" w:sz="0" w:space="0" w:color="auto"/>
        <w:right w:val="none" w:sz="0" w:space="0" w:color="auto"/>
      </w:divBdr>
    </w:div>
    <w:div w:id="563296276">
      <w:bodyDiv w:val="1"/>
      <w:marLeft w:val="0"/>
      <w:marRight w:val="0"/>
      <w:marTop w:val="0"/>
      <w:marBottom w:val="0"/>
      <w:divBdr>
        <w:top w:val="none" w:sz="0" w:space="0" w:color="auto"/>
        <w:left w:val="none" w:sz="0" w:space="0" w:color="auto"/>
        <w:bottom w:val="none" w:sz="0" w:space="0" w:color="auto"/>
        <w:right w:val="none" w:sz="0" w:space="0" w:color="auto"/>
      </w:divBdr>
    </w:div>
    <w:div w:id="577639025">
      <w:bodyDiv w:val="1"/>
      <w:marLeft w:val="0"/>
      <w:marRight w:val="0"/>
      <w:marTop w:val="0"/>
      <w:marBottom w:val="0"/>
      <w:divBdr>
        <w:top w:val="none" w:sz="0" w:space="0" w:color="auto"/>
        <w:left w:val="none" w:sz="0" w:space="0" w:color="auto"/>
        <w:bottom w:val="none" w:sz="0" w:space="0" w:color="auto"/>
        <w:right w:val="none" w:sz="0" w:space="0" w:color="auto"/>
      </w:divBdr>
    </w:div>
    <w:div w:id="754664250">
      <w:bodyDiv w:val="1"/>
      <w:marLeft w:val="0"/>
      <w:marRight w:val="0"/>
      <w:marTop w:val="0"/>
      <w:marBottom w:val="0"/>
      <w:divBdr>
        <w:top w:val="none" w:sz="0" w:space="0" w:color="auto"/>
        <w:left w:val="none" w:sz="0" w:space="0" w:color="auto"/>
        <w:bottom w:val="none" w:sz="0" w:space="0" w:color="auto"/>
        <w:right w:val="none" w:sz="0" w:space="0" w:color="auto"/>
      </w:divBdr>
    </w:div>
    <w:div w:id="897085410">
      <w:bodyDiv w:val="1"/>
      <w:marLeft w:val="0"/>
      <w:marRight w:val="0"/>
      <w:marTop w:val="0"/>
      <w:marBottom w:val="0"/>
      <w:divBdr>
        <w:top w:val="none" w:sz="0" w:space="0" w:color="auto"/>
        <w:left w:val="none" w:sz="0" w:space="0" w:color="auto"/>
        <w:bottom w:val="none" w:sz="0" w:space="0" w:color="auto"/>
        <w:right w:val="none" w:sz="0" w:space="0" w:color="auto"/>
      </w:divBdr>
    </w:div>
    <w:div w:id="1073502198">
      <w:bodyDiv w:val="1"/>
      <w:marLeft w:val="0"/>
      <w:marRight w:val="0"/>
      <w:marTop w:val="0"/>
      <w:marBottom w:val="0"/>
      <w:divBdr>
        <w:top w:val="none" w:sz="0" w:space="0" w:color="auto"/>
        <w:left w:val="none" w:sz="0" w:space="0" w:color="auto"/>
        <w:bottom w:val="none" w:sz="0" w:space="0" w:color="auto"/>
        <w:right w:val="none" w:sz="0" w:space="0" w:color="auto"/>
      </w:divBdr>
    </w:div>
    <w:div w:id="1356274011">
      <w:bodyDiv w:val="1"/>
      <w:marLeft w:val="0"/>
      <w:marRight w:val="0"/>
      <w:marTop w:val="0"/>
      <w:marBottom w:val="0"/>
      <w:divBdr>
        <w:top w:val="none" w:sz="0" w:space="0" w:color="auto"/>
        <w:left w:val="none" w:sz="0" w:space="0" w:color="auto"/>
        <w:bottom w:val="none" w:sz="0" w:space="0" w:color="auto"/>
        <w:right w:val="none" w:sz="0" w:space="0" w:color="auto"/>
      </w:divBdr>
    </w:div>
    <w:div w:id="1390108109">
      <w:bodyDiv w:val="1"/>
      <w:marLeft w:val="0"/>
      <w:marRight w:val="0"/>
      <w:marTop w:val="0"/>
      <w:marBottom w:val="0"/>
      <w:divBdr>
        <w:top w:val="none" w:sz="0" w:space="0" w:color="auto"/>
        <w:left w:val="none" w:sz="0" w:space="0" w:color="auto"/>
        <w:bottom w:val="none" w:sz="0" w:space="0" w:color="auto"/>
        <w:right w:val="none" w:sz="0" w:space="0" w:color="auto"/>
      </w:divBdr>
    </w:div>
    <w:div w:id="1447385627">
      <w:bodyDiv w:val="1"/>
      <w:marLeft w:val="0"/>
      <w:marRight w:val="0"/>
      <w:marTop w:val="0"/>
      <w:marBottom w:val="0"/>
      <w:divBdr>
        <w:top w:val="none" w:sz="0" w:space="0" w:color="auto"/>
        <w:left w:val="none" w:sz="0" w:space="0" w:color="auto"/>
        <w:bottom w:val="none" w:sz="0" w:space="0" w:color="auto"/>
        <w:right w:val="none" w:sz="0" w:space="0" w:color="auto"/>
      </w:divBdr>
    </w:div>
    <w:div w:id="1534921806">
      <w:bodyDiv w:val="1"/>
      <w:marLeft w:val="0"/>
      <w:marRight w:val="0"/>
      <w:marTop w:val="0"/>
      <w:marBottom w:val="0"/>
      <w:divBdr>
        <w:top w:val="none" w:sz="0" w:space="0" w:color="auto"/>
        <w:left w:val="none" w:sz="0" w:space="0" w:color="auto"/>
        <w:bottom w:val="none" w:sz="0" w:space="0" w:color="auto"/>
        <w:right w:val="none" w:sz="0" w:space="0" w:color="auto"/>
      </w:divBdr>
    </w:div>
    <w:div w:id="1606113432">
      <w:bodyDiv w:val="1"/>
      <w:marLeft w:val="0"/>
      <w:marRight w:val="0"/>
      <w:marTop w:val="0"/>
      <w:marBottom w:val="0"/>
      <w:divBdr>
        <w:top w:val="none" w:sz="0" w:space="0" w:color="auto"/>
        <w:left w:val="none" w:sz="0" w:space="0" w:color="auto"/>
        <w:bottom w:val="none" w:sz="0" w:space="0" w:color="auto"/>
        <w:right w:val="none" w:sz="0" w:space="0" w:color="auto"/>
      </w:divBdr>
    </w:div>
    <w:div w:id="1842352953">
      <w:bodyDiv w:val="1"/>
      <w:marLeft w:val="0"/>
      <w:marRight w:val="0"/>
      <w:marTop w:val="0"/>
      <w:marBottom w:val="0"/>
      <w:divBdr>
        <w:top w:val="none" w:sz="0" w:space="0" w:color="auto"/>
        <w:left w:val="none" w:sz="0" w:space="0" w:color="auto"/>
        <w:bottom w:val="none" w:sz="0" w:space="0" w:color="auto"/>
        <w:right w:val="none" w:sz="0" w:space="0" w:color="auto"/>
      </w:divBdr>
    </w:div>
    <w:div w:id="1936356595">
      <w:bodyDiv w:val="1"/>
      <w:marLeft w:val="0"/>
      <w:marRight w:val="0"/>
      <w:marTop w:val="0"/>
      <w:marBottom w:val="0"/>
      <w:divBdr>
        <w:top w:val="none" w:sz="0" w:space="0" w:color="auto"/>
        <w:left w:val="none" w:sz="0" w:space="0" w:color="auto"/>
        <w:bottom w:val="none" w:sz="0" w:space="0" w:color="auto"/>
        <w:right w:val="none" w:sz="0" w:space="0" w:color="auto"/>
      </w:divBdr>
    </w:div>
    <w:div w:id="1970894164">
      <w:bodyDiv w:val="1"/>
      <w:marLeft w:val="0"/>
      <w:marRight w:val="0"/>
      <w:marTop w:val="0"/>
      <w:marBottom w:val="0"/>
      <w:divBdr>
        <w:top w:val="none" w:sz="0" w:space="0" w:color="auto"/>
        <w:left w:val="none" w:sz="0" w:space="0" w:color="auto"/>
        <w:bottom w:val="none" w:sz="0" w:space="0" w:color="auto"/>
        <w:right w:val="none" w:sz="0" w:space="0" w:color="auto"/>
      </w:divBdr>
    </w:div>
    <w:div w:id="2132476723">
      <w:bodyDiv w:val="1"/>
      <w:marLeft w:val="0"/>
      <w:marRight w:val="0"/>
      <w:marTop w:val="0"/>
      <w:marBottom w:val="0"/>
      <w:divBdr>
        <w:top w:val="none" w:sz="0" w:space="0" w:color="auto"/>
        <w:left w:val="none" w:sz="0" w:space="0" w:color="auto"/>
        <w:bottom w:val="none" w:sz="0" w:space="0" w:color="auto"/>
        <w:right w:val="none" w:sz="0" w:space="0" w:color="auto"/>
      </w:divBdr>
    </w:div>
    <w:div w:id="21398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Jingjing Zhu</dc:creator>
  <cp:keywords/>
  <dc:description/>
  <cp:lastModifiedBy>Jingjing Zhu</cp:lastModifiedBy>
  <cp:revision>1</cp:revision>
  <dcterms:created xsi:type="dcterms:W3CDTF">2019-05-19T05:27:00Z</dcterms:created>
  <dcterms:modified xsi:type="dcterms:W3CDTF">2019-05-19T05:50:00Z</dcterms:modified>
</cp:coreProperties>
</file>