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t>Malignant epithelial-state architecture accounts for much of the covariance between a DoRothEA-derived BACH1 score and hypoxia in NSCLC</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but the cellular context of BACH1-associated transcription in primary tumours remains unclear. We integrated patient-resolved single-cell RNA sequencing with TCGA bulk tumours and an independent spatial transcriptomic cohort to determine whether BACH1-associated hypoxia covariance reflects a uniform transcriptional relationship or broader epithelial-state architecture. Among 13,694 malignant epithelial cells from 16 patients, a shared-gene-removed DoRothEA-derived BACH1 score correlated strongly with Hallmark hypoxia at patient level (ρ=0.868) and exceeded expression- and detection-matched random gene-set expectations (empirical P=0.002). Adjustment for dataset, quality-control features and epithelial-state composition reduced the association to ρ=0.135 and to ρ=0.011 among patients with at least 20 malignant epithelial cells. After multiplicity correction, only the stress-associated epithelial state retained evidence of a within-state association. Pan-transcription-factor benchmarking placed BACH1 among the leading hypoxia-associated regulon scores, while TCGA-LUAD/LUSC reproduced a weaker tumour-level association (ρ=0.307). Across four spatial sections from an independent NSCLC cohort, BACH1-hypoxia covariance was again positive (ρ=0.626-0.840) but markedly attenuated after state adjustment in the three LUAD sections. These cross-modal findings indicate that BACH1-associated hypoxia covariance in NSCLC is embedded within patient-specific malignant epithelial-state architecture rather than representing a uniform BACH1 regulatory axis.</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rPr/>
        <w:t>BACH1 is a heme-responsive basic leucine zipper transcription factor involved in oxidative-stress adaptation, heme metabolism and Maf-recognition-element regulation. Experimental lung cancer models connect BACH1 to metastatic progression, glycolytic adaptation and angiogenic transcription</w:t>
      </w:r>
      <w:r>
        <w:rPr>
          <w:vertAlign w:val="superscript"/>
        </w:rPr>
        <w:t>7-10,22</w:t>
      </w:r>
      <w:r>
        <w:rPr/>
        <w:t>. Our previous clinical and functional study further suggested context-dependent BACH1 biology in NSCLC, motivating investigation of the malignant epithelial states in which BACH1-associated transcription occurs</w:t>
      </w:r>
      <w:r>
        <w:rPr>
          <w:vertAlign w:val="superscript"/>
        </w:rPr>
        <w:t>12</w:t>
      </w:r>
      <w:r>
        <w:rPr/>
        <w:t>.</w:t>
      </w:r>
    </w:p>
    <w:p w14:paraId="5084B64F" w14:textId="1B76A68F" w:rsidR="00075D9A" w:rsidRDefault="00640D1B" w:rsidP="00905F3D">
      <w:pPr>
        <w:spacing w:line="480" w:lineRule="auto"/>
        <w:rPr>
          <w:rFonts w:eastAsia="SimSun"/>
          <w:lang w:eastAsia="zh-CN"/>
        </w:rPr>
      </w:pPr>
      <w:r>
        <w:t>Bulk tumour analyses cannot determine how much of an observed BACH1-hypoxia association reflects transcriptional coupling within malignant cells versus differences in malignant epithelial-state composition between patients. Cell-line experiments, in turn, do not resolve how these signals are distributed across primary human tumour states.</w:t>
      </w:r>
    </w:p>
    <w:p w14:paraId="0E52CD0B" w14:textId="77777777" w:rsidR="00075D9A" w:rsidRDefault="00640D1B" w:rsidP="00905F3D">
      <w:pPr>
        <w:spacing w:line="480" w:lineRule="auto"/>
        <w:rPr>
          <w:rFonts w:eastAsia="SimSun"/>
          <w:lang w:eastAsia="zh-CN"/>
        </w:rPr>
      </w:pPr>
      <w:r>
        <w:t>We therefore asked to what extent patient-level BACH1-hypoxia covariance persists after accounting for malignant epithelial-state architecture. We tested this using patient-resolved scRNA-seq, evaluated transcription-factor specificity and bulk reproducibility, and then asked whether the same state-dependent pattern was independently recapitulated in spatial transcriptomic tissue sections.</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13</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14</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15</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16</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17</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18</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Expression-derived CNV support was inferred with infercnvpy v0.6.1 using immune and non-tumour epithelial reference populations. The primary malignant epithelial set combined GSE131907 author malignant annotations with GSE274934 cells supported by at least one of three CNV strategies, yielding 13,694 cells from 16 patients. The restricted sensitivity set required support from at least two CNV strategies and contained 4,906 cells. Reference construction, smoothing, clustering and burden-threshold parameters are provided in the Supplementary Methods.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t>BACH1 transcript detection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Differential-expression, co-expression and partial-correlation analyses were retained as supplementary regulatory-candidate context and are described in the Supplementary Methods and Supplementary Tables 3-4.</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DoRothEA was used as the primary BACH1 score after comparison with predefined external BACH1 resources; alternative resources and scoring implementations are detailed in the Supplementary Methods and Supplementary Table 2. Directional mean-z scores used gene-wise standardized log-normalised expression and signed weights. After filtering and duplicate collapse, 84 DoRothEA targets contributed to the primary score; removal of ALDOA, HMOX1 and IL6 from both DoRothEA and Hallmark hypoxia scores left 81 and 191 genes, respectively.</w:t>
      </w:r>
    </w:p>
    <w:p w14:paraId="4B2F14C5" w14:textId="77777777" w:rsidR="00075D9A" w:rsidRDefault="00640D1B" w:rsidP="00905F3D">
      <w:pPr>
        <w:spacing w:line="480" w:lineRule="auto"/>
      </w:pPr>
      <w:r>
        <w:t>DoRothEA-hypoxia overlap was quantified before and after shared-gene removal. Independent 1,000-permutation matched random-gene-set analyses were run for the original 84-gene and de-overlapped 81-gene scores, using 20-bin matching for mean expression and detection fraction; empirical one-sided P values used (b+1)/(B+1). Leave-one-patient-out analyses recalculated correlations after omitting each patient. Patient-level QC-adjusted models used the de-overlapped DoRothEA score as outcome and BACH1 detection, log total counts, detected genes, mitochondrial percentage and simplified epithelial state as covariates. Patients were evaluable when they contributed at least 20 malignant epithelial cells, including at least three BACH1-detected and three BACH1-undetected cells; patient-specific coefficients were tested against zero with a two-sided Wilcoxon signed-rank test. Both scores were also residualized for dataset, patient-level QC features and two epithelial-state composition PCs. Full diagnostics are provided in Supplementary Table 2.</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Stress-associated, Ciliated-like, Epithelial core, Proliferative, AT2-like and Other. Per-state summaries reported cell and patient counts, BACH1 transcript detection and pathway scores; malignancy support and patient dominance were audited separately. A predefined immediate-early/dissociation programme was used as a sensitivity analysis (Supplementary Methods and Supplementary Table 4). Patient-state units with at least ten cells were used for within-state Spearman correlations. For the three states with at least four evaluable units, two-sided exact P values were obtained by enumerating all rank permutations (n≤9) and were Holm-adjusted across states; displayed Fisher-z 95% confidence intervals were approximate and not used for inference. Patient-level attenuation residualized both scores for dataset, QC features and two composition PCs derived from centred proportions of the six states; a CLR-transformed sensitivity used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19-21</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Spatial transcriptomic projection and spatial null sensitivity</w:t>
      </w:r>
    </w:p>
    <w:p>
      <w:pPr/>
      <w:r>
        <w:t>Independent lung spatial transcriptomic sections from GSE292299 were analysed as an orthogonal tissue-level extension. Filtered 10x Visium matrices and array coordinates were imported with Scanpy; in-tissue spots were retained, library-size normalisation was applied to a target sum of 10,000 counts per spot, and values were log1p-transformed. The shared-gene-removed DoRothEA BACH1 and Hallmark hypoxia scores, together with Stress_AP1, Epithelial_core, AT2_like and Ciliated programme scores, were projected using the frozen gene-level score definitions. Spot-level Spearman correlations were treated as descriptive because spots within a section are not independent inferential units.</w:t>
      </w:r>
    </w:p>
    <w:p>
      <w:pPr/>
      <w:r>
        <w:t>For DoRothEA-hypoxia analyses, the four projected epithelial programmes were standardised within section and reduced to three pooled state PCs, explaining 84.1% of their variance. For Stress_AP1-hypoxia analyses, leave-one-programme-out PCs were constructed from Epithelial_core, AT2_like and Ciliated, with the first two PCs explaining 73.7% of the variance. Scores were residualised against log total counts, detected-gene counts and the corresponding state PCs. Spatial concordance was quantified with bivariate Moran's I using a six-neighbour array-coordinate graph. Null expectations were generated by permuting score labels within 10, 15, 20 or 30 array-coordinate blocks, with 1,000 permutations per block size and empirical P values calculated as (b+1)/(B+1). This was treated as a locally constrained exploratory null rather than a variogram-preserving spatial surrogate. As a gene-overlap sensitivity, all 272 genes in the union of the de-overlapped DoRothEA and Hallmark hypoxia sets were removed from each state programme before rescoring and rebuilding the PC basis.</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and CNV workflows used Python 3.11.5; final robustness, TCGA and spatial scripts used Python 3.12.5. Package versions, random seeds and external-resource access dates, including supplementary pySCENIC and scATAC analyses, are provided in Supplementary Table 4D. Figures were generated with matplotlib/seaborn and checked against their source tables.</w:t>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Among the external BACH1 resources evaluated, the DoRothEA mean-z score showed the most consistent within-patient relationship with BACH1 transcript detection and was therefore used for the primary contextual analyses (median within-patient delta=0.0874, Holm-adjusted P=3.1×10⁻⁴; Fig. 2a,b). Alternative resources and scoring implementations provided weaker or inconsistent sensitivity estimates and are summarized in Supplementary Table 2.</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indicated substantial background patient-level transcriptional structure among expression- and detection-matched gene sets.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Six simplified malignant epithelial-state classes were retained for interpretation (Fig. 3a). The stress-associated state showed the highest hypoxia score together with elevated DoRothEA BACH1, glycolysis, EMT and proliferation scores (Fig. 3b). A ciliated-like population showed higher BACH1 detection and NRF2-related transcription but was strongly dominated by a single patient and was therefore considered descriptive.</w:t>
      </w:r>
    </w:p>
    <w:p w14:paraId="54EBBA9E" w14:textId="77777777" w:rsidR="00075D9A" w:rsidRDefault="00640D1B" w:rsidP="00905F3D">
      <w:r>
        <w:t>Patient-level attenuation analysis showed that the strong DoRothEA-hypoxia association was progressively reduced after accounting for broader context. The original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 analysis retained evidence only in the stress-associated state after correction (ρ=0.881, Holm-adjusted P=0.0217; Fig. 3d); the Epithelial_core estimate was positive but imprecise, and AT2_like showed no association. Additional compositional sensitivities are reported in Supplementary Table 4.</w:t>
      </w:r>
    </w:p>
    <w:p w14:paraId="6166ECD4" w14:textId="77777777" w:rsidR="00075D9A" w:rsidRDefault="00640D1B" w:rsidP="00905F3D">
      <w:pPr>
        <w:pStyle w:val="berschrift2"/>
      </w:pPr>
      <w:r>
        <w:t>Pan-TF benchmarking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Cohort-stratified estimates remained directionally positive in both scRNA-seq datasets, although the five-patient GSE274934 estimate was imprecise (Supplementary Fig. 4 and Supplementary Table 5).</w:t>
      </w:r>
    </w:p>
    <w:p>
      <w:r>
        <w:t>TCGA-LUAD/LUSC provided independent bulk-cohort replication of a weaker tumour-level score association (Fig. 4b,c).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w:t>
      </w:r>
    </w:p>
    <w:p>
      <w:pPr>
        <w:pStyle w:val="berschrift2"/>
      </w:pPr>
      <w:r>
        <w:t>Independent spatial transcriptomics reproduces state-embedded BACH1-hypoxia covariance</w:t>
      </w:r>
    </w:p>
    <w:p>
      <w:pPr/>
      <w:r>
        <w:t>Independent spatial transcriptomic data provided orthogonal support for the state-dependent BACH1-hypoxia relationship. Across four NSCLC tissue sections, the de-overlapped DoRothEA BACH1 score correlated positively with de-overlapped Hallmark hypoxia (Spearman ρ=0.626-0.840), and spatial concordance was positive by bivariate Moran's I. The projected stress-associated programme was likewise positively associated with hypoxia across all four spatial sections, providing a spatial counterpart to the stress-associated epithelial context identified by scRNA-seq. After adjustment for sequencing-depth features and projected epithelial-state PCs, residual correlations were 0.135, 0.057 and 0.139 in the three LUAD sections and 0.401 in the single LUSC section (Fig. 5). Removing the complete 272-gene DoRothEA/hypoxia union from the state programmes before rebuilding PCs produced nearly identical residuals (0.139, 0.060, 0.141 and 0.408, respectively; Supplementary Table 6). Residual spatial concordance remained above locally constrained null expectations across block sizes of 10-30 array coordinates (Supplementary Fig. 5). These findings reproduce strong spatial covariance while showing that much of the relationship is embedded within epithelial-state architecture; the single LUSC section was interpreted descriptively.</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t>This study identifies strong patient-level covariance between a DoRothEA-derived BACH1 score and hypoxia-associated transcription, then shows that much of this relationship is embedded within malignant epithelial-state architecture. Dataset- and QC-adjusted correlations weakened further after epithelial-state composition adjustment, with the strict patient subset approaching zero. Independent spatial sections reproduced the same pattern: strong raw covariance across tissue sections followed by marked attenuation after projected-state adjustment. Together, the single-cell and spatial analyses support a state-embedded relationship rather than a uniform BACH1-hypoxia regulatory axis.</w:t>
      </w:r>
    </w:p>
    <w:p>
      <w:pPr/>
      <w:r>
        <w:rPr/>
        <w:t>This interpretation is biologically compatible with experimental work linking BACH1 to heme and redox sensing, NRF2-dependent stabilization, glycolytic adaptation, metastasis and angiogenic transcription in lung cancer</w:t>
      </w:r>
      <w:r>
        <w:rPr>
          <w:vertAlign w:val="superscript"/>
        </w:rPr>
        <w:t>9,10,22</w:t>
      </w:r>
      <w:r>
        <w:rPr/>
        <w:t>. The stress-associated epithelial state combined elevated hypoxia, glycolysis, EMT and BACH1-score signals, providing a plausible cellular context in which these programmes coexist. The present observational analyses do not establish that BACH1 initiates or maintains this state; they identify the malignant epithelial context in which BACH1-associated transcription is most consistently observed.</w:t>
      </w:r>
    </w:p>
    <w:p>
      <w:pPr/>
      <w:r>
        <w:rPr/>
        <w:t>Pan-TF benchmarking showed that BACH1 was among, but not unique among, highly hypoxia-associated regulon scores, while alternative BACH1 resources were less concordant</w:t>
      </w:r>
      <w:r>
        <w:rPr>
          <w:vertAlign w:val="superscript"/>
        </w:rPr>
        <w:t>11</w:t>
      </w:r>
      <w:r>
        <w:rPr/>
        <w:t>. These findings reinforce that the measured quantity should be interpreted specifically as a DoRothEA-derived transcriptional score rather than as resource-independent BACH1 activity or protein function.</w:t>
      </w:r>
    </w:p>
    <w:p>
      <w:pPr/>
      <w:r>
        <w:t>Several limitations constrain interpretation. The single-cell analysis included 16 patients from public cohorts with different designs, the restricted CNV-consensus set and some epithelial populations were patient-skewed, and TCGA supplied bulk rather than independent single-cell replication. The spatial extension comprised four sections, including only one LUSC specimen, and used a locally constrained block null rather than a variogram-preserving generative model. TF scores do not measure protein activity directly, and the study did not test BACH1 occupancy or causal regulation. Supplementary pySCENIC and scATAC analyses therefore serve only as candidate context.</w:t>
      </w:r>
    </w:p>
    <w:p>
      <w:pPr/>
      <w:r>
        <w:t>More broadly, these findings illustrate a general interpretive issue in tumour transcriptomics: strong patient-level covariance between transcription-factor and pathway scores can arise partly from differences in malignant-cell state composition rather than uniform regulatory coupling within individual tumour cells. The important result is not that BACH1 defines a new hypoxic state, but that BACH1-associated transcription is embedded within pre-existing malignant epithelial-state architecture. State-resolved perturbation, direct occupancy assays and longitudinal treatment cohorts will be required to determine whether BACH1 actively contributes to acquisition or maintenance of these states.</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19-21</w:t>
      </w:r>
      <w:r>
        <w:t>. The analysis code, environment files, figure source data and supplementary tables generated for this study are available in the project repository (https://github.com/jingliu0413-bot/BACH1_NSCLC_reproducibility). No new sequencing data were generated in this study.</w:t>
      </w:r>
    </w:p>
    <w:p>
      <w:pPr/>
      <w:r>
        <w:t>The independent spatial transcriptomic matrices and spatial coordinates are available from the NCBI GEO under accession GSE292299.</w:t>
      </w:r>
    </w:p>
    <w:p>
      <w:r>
        <w:rPr>
          <w:b/>
        </w:rPr>
        <w:t>Figure legends</w:t>
      </w:r>
    </w:p>
    <w:p>
      <w:r>
        <w:t>Figure 1. Single-cell landscape and malignant epithelial context of BACH1. a, Study design linking the NSCLC scRNA atlas to malignant epithelium, the BACH1-hypoxia score association, epithelial-state context, TCGA replication, independent spatial replication. b, UMAP of the integrated 176,294-cell scRNA atlas coloured by broad cell type. c, Dot plot of canonical markers used for broad cell-type annotation; dot size indicates fraction expressing and colour indicates scaled mean expression. d, Epithelial UMAP showing cells retained as malignant versus non-malignant by the operational author-annotation and CNV-supported definition. e, BACH1 expression across the 13,694-cell primary malignant epithelial UMAP.</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BACH1 ranks among hypoxia-associated TF scores and the association replicates in TCGA tumours. a, Patient-level correlations between TF-specific de-overlapped DoRothEA regulon scores and corresponding de-overlapped Hallmark hypoxia scores. The ten highest-ranking TFs and selected biologically relevant comparators are shown; BACH1 ranked fourth among 267 evaluable TFs, with ties assigned using the minimum shared rank. b, TCGA-LUAD/LUSC tumour-level association between de-overlapped DoRothEA BACH1 and Hallmark hypoxia scores; points represent tumours and colours indicate histology. The fitted line is shown for visual guidance; inference is based on Spearman correlation. c, Standardized coefficients and 95% confidence intervals from covariate-adjusted TCGA models. The combined model adjusted for cohort, stage and smoking pack-years; LUAD additionally included tumour purity where available, whereas LUSC used stage and smoking adjustment.</w:t>
      </w:r>
    </w:p>
    <w:p>
      <w:pPr/>
      <w:r>
        <w:t>Figure 5. Independent spatial replication of state-embedded BACH1-hypoxia covariance. a, Four lung sections from the independent GSE292299 NSCLC cohort, with sample, histology and in-tissue spot count. b, Representative P12 projections of the de-overlapped DoRothEA BACH1 score, de-overlapped Hallmark hypoxia score and Stress_AP1 score. c, Raw section-level Spearman correlations for DoRothEA-hypoxia and Stress_AP1-hypoxia; points are unconnected because the comparisons are not before-after measurements. d, Observed bivariate Moran's I compared with the 20×20 locally constrained block-null mean. e, DoRothEA-hypoxia correlation before adjustment, after QC adjustment and after adjustment for QC features plus three projected epithelial-state PCs, which explained 84.1% of the four programme-score variance. Spatial summaries are section-level and exploratory; the block null preserves local block structure but not the full variogram. The single LUSC section was interpreted descriptively. Block-size sensitivity is shown in Supplementary Fig. 5.</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t>Supplementary Figure 3.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pPr/>
      <w:r>
        <w:t>Supplementary Figure 4. scRNA-seq cohort-stratified DoRothEA-hypoxia association. Patient-level correlations for the de-overlapped DoRothEA BACH1 and Hallmark hypoxia scores in all patients and separately in GSE131907 and GSE274934. Points indicate Spearman's ρ and horizontal bars indicate approximate Fisher-z 95% confidence intervals; P values are unadjusted within this descriptive sensitivity analysis.</w:t>
      </w:r>
    </w:p>
    <w:p>
      <w:pPr/>
      <w:r>
        <w:t>Supplementary Figure 5. Spatial block-size sensitivity. Observed minus block-null mean bivariate Moran's I for the state-PC-residualized DoRothEA-hypoxia score pair across block sizes of 10, 15, 20 and 30 array coordinates. Positive values in all sections and settings indicate that residual spatial concordance exceeded the locally constrained null expectation.</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Wolf FA, Angerer P, Theis FJ. SCANPY: large-scale single-cell gene expression data analysis. Genome Biol. 2018; 19: 15.</w:t>
      </w:r>
    </w:p>
    <w:p>
      <w:r>
        <w:t>14</w:t>
        <w:tab/>
        <w:t>Wolock SL, Lopez R, Klein AM. Scrublet: Computational Identification of Cell Doublets in Single-Cell Transcriptomic Data. Cell Syst. 2019; 8: 281-291.e289.</w:t>
      </w:r>
    </w:p>
    <w:p>
      <w:r>
        <w:t>15</w:t>
        <w:tab/>
        <w:t>Korsunsky I, Millard N, Fan J, et al. Fast, sensitive and accurate integration of single-cell data with Harmony. Nat Methods. 2019; 16: 1289-1296.</w:t>
      </w:r>
    </w:p>
    <w:p>
      <w:r>
        <w:t>16</w:t>
        <w:tab/>
        <w:t>McInnes L, Healy, J., Saul, N. &amp; Grossberger, L. UMAP: Uniform Manifold Approximation and Projection. Journal of Open Source Software. 2018; 3: 861.</w:t>
      </w:r>
    </w:p>
    <w:p>
      <w:r>
        <w:t>17</w:t>
        <w:tab/>
        <w:t>Traag VA, Waltman L, van Eck NJ. From Louvain to Leiden: guaranteeing well-connected communities. Sci Rep. 2019; 9: 5233.</w:t>
      </w:r>
    </w:p>
    <w:p>
      <w:r>
        <w:t>18</w:t>
        <w:tab/>
        <w:t>Benjamini Y, Hochberg Y. Controlling the false discovery rate: a practical and powerful approach to multiple testing. J R Stat Soc Series B Methodol. 1995; 57: 289-300.</w:t>
      </w:r>
    </w:p>
    <w:p>
      <w:r>
        <w:t>19</w:t>
        <w:tab/>
        <w:t>Goldman MJ, Craft B, Hastie M, et al. Visualizing and interpreting cancer genomics data via the Xena platform. Nat Biotechnol. 2020; 38: 675-678. doi:10.1038/s41587-020-0546-8.</w:t>
      </w:r>
    </w:p>
    <w:p>
      <w:r>
        <w:t>20</w:t>
        <w:tab/>
        <w:t>Cancer Genome Atlas Research Network. Comprehensive molecular profiling of lung adenocarcinoma. Nature. 2014; 511: 543-550.</w:t>
      </w:r>
    </w:p>
    <w:p>
      <w:r>
        <w:t>21</w:t>
        <w:tab/>
        <w:t>Cancer Genome Atlas Research Network. Comprehensive genomic characterization of squamous cell lung cancers. Nature. 2012; 489: 519-525.</w:t>
      </w:r>
    </w:p>
    <w:p>
      <w:r>
        <w:t>22</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