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814F" w14:textId="77777777" w:rsidR="00075D9A" w:rsidRDefault="00640D1B" w:rsidP="00905F3D">
      <w:pPr>
        <w:pStyle w:val="StandardWeb"/>
        <w:spacing w:line="480" w:lineRule="auto"/>
        <w:rPr>
          <w:rFonts w:eastAsia="SimSun" w:cstheme="majorBidi"/>
          <w:b/>
          <w:bCs/>
          <w:color w:val="000000"/>
          <w:spacing w:val="5"/>
          <w:kern w:val="28"/>
          <w:sz w:val="22"/>
          <w:szCs w:val="22"/>
          <w:lang w:val="en-US"/>
        </w:rPr>
      </w:pPr>
      <w:r>
        <w:t>Malignant epithelial-state architecture accounts for much of the covariance between a DoRothEA-derived BACH1 score and hypoxia in NSCLC</w:t>
      </w:r>
    </w:p>
    <w:p w14:paraId="1D727ACF" w14:textId="77777777" w:rsidR="00075D9A" w:rsidRDefault="00640D1B" w:rsidP="00905F3D">
      <w:pPr>
        <w:pStyle w:val="StandardWeb"/>
        <w:spacing w:line="480" w:lineRule="auto"/>
        <w:rPr>
          <w:rFonts w:ascii="Calibri" w:eastAsia="SimSun" w:hAnsi="Calibri" w:cs="Calibri"/>
          <w:lang w:val="en-US"/>
        </w:rPr>
      </w:pPr>
      <w:r>
        <w:rPr/>
        <w:t>Jing Liu</w:t>
      </w:r>
      <w:r>
        <w:rPr>
          <w:vertAlign w:val="superscript"/>
        </w:rPr>
        <w:t>1,2†</w:t>
      </w:r>
      <w:r>
        <w:rPr/>
        <w:t>, Haijun Tang</w:t>
      </w:r>
      <w:r>
        <w:rPr>
          <w:vertAlign w:val="superscript"/>
        </w:rPr>
        <w:t>3</w:t>
      </w:r>
      <w:r>
        <w:rPr/>
        <w:t>, Heiko Golpon</w:t>
      </w:r>
      <w:r>
        <w:rPr>
          <w:vertAlign w:val="superscript"/>
        </w:rPr>
        <w:t>1,2</w:t>
      </w:r>
      <w:r>
        <w:rPr/>
        <w:t>, Radosław Dzik</w:t>
      </w:r>
      <w:r>
        <w:rPr>
          <w:vertAlign w:val="superscript"/>
        </w:rPr>
        <w:t>4</w:t>
      </w:r>
      <w:r>
        <w:rPr/>
        <w:t>, Sabina Janciauskiene</w:t>
      </w:r>
      <w:r>
        <w:rPr>
          <w:vertAlign w:val="superscript"/>
        </w:rPr>
        <w:t>1,2</w:t>
      </w:r>
    </w:p>
    <w:p w14:paraId="4BDE1923" w14:textId="77777777" w:rsidR="007B0B1A" w:rsidRDefault="00640D1B" w:rsidP="007B0B1A">
      <w:pPr>
        <w:spacing w:before="100" w:beforeAutospacing="1" w:after="100" w:afterAutospacing="1" w:line="480" w:lineRule="auto"/>
        <w:jc w:val="left"/>
        <w:outlineLvl w:val="1"/>
        <w:rPr>
          <w:rFonts w:eastAsia="SimSun"/>
          <w:lang w:eastAsia="zh-CN"/>
        </w:rPr>
      </w:pPr>
      <w:r>
        <w:t xml:space="preserve">1 Department of Respiratory Medicine and Infectious Diseases, Hannover Medical School, Hannover, Germany. </w:t>
      </w:r>
    </w:p>
    <w:p w14:paraId="22772790" w14:textId="77777777" w:rsidR="00075D9A" w:rsidRPr="007B0B1A" w:rsidRDefault="00640D1B" w:rsidP="007B0B1A">
      <w:pPr>
        <w:spacing w:before="100" w:beforeAutospacing="1" w:after="100" w:afterAutospacing="1" w:line="480" w:lineRule="auto"/>
        <w:jc w:val="left"/>
        <w:outlineLvl w:val="1"/>
      </w:pPr>
      <w:r>
        <w:t xml:space="preserve">2 German Center for Lung Research (DZL), Biomedical Research in </w:t>
      </w:r>
      <w:proofErr w:type="spellStart"/>
      <w:r>
        <w:t>Endstage</w:t>
      </w:r>
      <w:proofErr w:type="spellEnd"/>
      <w:r>
        <w:t xml:space="preserve"> and Obstructive Lung Disease Hannover (BREATH), Hannover, Germany. </w:t>
      </w:r>
    </w:p>
    <w:p w14:paraId="50357C9A" w14:textId="77777777" w:rsidR="00075D9A" w:rsidRPr="007B0B1A" w:rsidRDefault="00640D1B" w:rsidP="007B0B1A">
      <w:pPr>
        <w:spacing w:before="100" w:beforeAutospacing="1" w:after="100" w:afterAutospacing="1" w:line="480" w:lineRule="auto"/>
        <w:jc w:val="left"/>
        <w:outlineLvl w:val="1"/>
      </w:pPr>
      <w:r>
        <w:t xml:space="preserve">3 Department of Spine Surgery, Academy of Orthopedics, </w:t>
      </w:r>
      <w:proofErr w:type="spellStart"/>
      <w:r>
        <w:t>Orthopaedic</w:t>
      </w:r>
      <w:proofErr w:type="spellEnd"/>
      <w:r>
        <w:t xml:space="preserve"> Hospital of Guangdong Province, The Third Affiliated Hospital of Southern Medical University, Guangzhou, China.</w:t>
      </w:r>
    </w:p>
    <w:p w14:paraId="2EFA101D" w14:textId="77777777" w:rsidR="00075D9A" w:rsidRPr="007B0B1A" w:rsidRDefault="00640D1B" w:rsidP="007B0B1A">
      <w:pPr>
        <w:spacing w:before="100" w:beforeAutospacing="1" w:after="100" w:afterAutospacing="1" w:line="480" w:lineRule="auto"/>
        <w:jc w:val="left"/>
        <w:outlineLvl w:val="1"/>
      </w:pPr>
      <w:r>
        <w:t xml:space="preserve">4 Department of Clinical Engineering, Academy of Silesia, ul. </w:t>
      </w:r>
      <w:proofErr w:type="spellStart"/>
      <w:r>
        <w:t>Rolna</w:t>
      </w:r>
      <w:proofErr w:type="spellEnd"/>
      <w:r>
        <w:t xml:space="preserve"> 43, 40-555 Katowice, Poland. </w:t>
      </w:r>
    </w:p>
    <w:p w14:paraId="4A48FF27" w14:textId="77777777" w:rsidR="00075D9A" w:rsidRDefault="00640D1B" w:rsidP="00905F3D">
      <w:pPr>
        <w:spacing w:line="480" w:lineRule="auto"/>
        <w:rPr>
          <w:rFonts w:eastAsia="SimSun" w:cs="Times New Roman"/>
          <w:szCs w:val="24"/>
          <w:vertAlign w:val="superscript"/>
          <w:lang w:eastAsia="zh-CN"/>
        </w:rPr>
      </w:pPr>
      <w:r>
        <w:rPr>
          <w:rFonts w:cs="Times New Roman"/>
          <w:szCs w:val="24"/>
          <w:vertAlign w:val="superscript"/>
          <w:lang w:eastAsia="de-DE"/>
        </w:rPr>
        <w:t>†</w:t>
      </w:r>
      <w:r>
        <w:rPr>
          <w:rFonts w:cs="Times New Roman"/>
          <w:szCs w:val="24"/>
          <w:lang w:eastAsia="de-DE"/>
        </w:rPr>
        <w:t>Corresponding author</w:t>
      </w:r>
      <w:r>
        <w:rPr>
          <w:rFonts w:cs="Times New Roman"/>
          <w:szCs w:val="24"/>
          <w:vertAlign w:val="superscript"/>
          <w:lang w:eastAsia="de-DE"/>
        </w:rPr>
        <w:t xml:space="preserve"> </w:t>
      </w:r>
    </w:p>
    <w:p w14:paraId="6D71541B" w14:textId="77777777" w:rsidR="00075D9A" w:rsidRDefault="00640D1B" w:rsidP="00905F3D">
      <w:pPr>
        <w:spacing w:line="480" w:lineRule="auto"/>
        <w:rPr>
          <w:rFonts w:eastAsia="SimSun" w:cs="Times New Roman"/>
          <w:bCs/>
          <w:szCs w:val="28"/>
          <w:lang w:eastAsia="zh-CN"/>
        </w:rPr>
      </w:pPr>
      <w:r>
        <w:rPr>
          <w:rFonts w:cs="Times New Roman"/>
          <w:szCs w:val="28"/>
        </w:rPr>
        <w:t xml:space="preserve">Jing Liu, </w:t>
      </w:r>
      <w:r>
        <w:rPr>
          <w:rFonts w:cs="Times New Roman" w:hint="eastAsia"/>
          <w:szCs w:val="28"/>
          <w:lang w:eastAsia="zh-Hans"/>
        </w:rPr>
        <w:t>Ph</w:t>
      </w:r>
      <w:r>
        <w:rPr>
          <w:rFonts w:cs="Times New Roman"/>
          <w:szCs w:val="28"/>
        </w:rPr>
        <w:t>D Candidate</w:t>
      </w:r>
      <w:r>
        <w:rPr>
          <w:rFonts w:cs="Times New Roman"/>
          <w:bCs/>
          <w:szCs w:val="28"/>
        </w:rPr>
        <w:t xml:space="preserve"> </w:t>
      </w:r>
    </w:p>
    <w:p w14:paraId="2FB480F4" w14:textId="77777777" w:rsidR="00075D9A" w:rsidRDefault="00640D1B" w:rsidP="00905F3D">
      <w:pPr>
        <w:spacing w:line="480" w:lineRule="auto"/>
        <w:rPr>
          <w:rFonts w:cs="Times New Roman"/>
          <w:szCs w:val="28"/>
        </w:rPr>
      </w:pPr>
      <w:r>
        <w:rPr>
          <w:rFonts w:cs="Times New Roman"/>
          <w:bCs/>
          <w:szCs w:val="36"/>
        </w:rPr>
        <w:t>Department of Respiratory Medicine and Infectious Diseases, Hannover Medical School, Hannover, Germany</w:t>
      </w:r>
    </w:p>
    <w:p w14:paraId="3AC3CEE8" w14:textId="77777777" w:rsidR="00075D9A" w:rsidRDefault="00640D1B" w:rsidP="00905F3D">
      <w:pPr>
        <w:spacing w:line="480" w:lineRule="auto"/>
        <w:rPr>
          <w:lang w:val="de-DE"/>
        </w:rPr>
      </w:pPr>
      <w:r>
        <w:rPr>
          <w:rFonts w:cs="Times New Roman"/>
          <w:szCs w:val="28"/>
          <w:lang w:val="de-DE"/>
        </w:rPr>
        <w:t xml:space="preserve">E-Mail: </w:t>
      </w:r>
      <w:hyperlink r:id="rId8" w:history="1">
        <w:r w:rsidR="00075D9A">
          <w:rPr>
            <w:lang w:val="de-DE"/>
          </w:rPr>
          <w:t>Liu.Jing@mh-hannover.de</w:t>
        </w:r>
      </w:hyperlink>
    </w:p>
    <w:p w14:paraId="04E571F4" w14:textId="77777777" w:rsidR="00075D9A" w:rsidRDefault="00640D1B" w:rsidP="00905F3D">
      <w:pPr>
        <w:spacing w:line="480" w:lineRule="auto"/>
        <w:rPr>
          <w:rFonts w:cs="Times New Roman"/>
          <w:szCs w:val="28"/>
        </w:rPr>
      </w:pPr>
      <w:r>
        <w:rPr>
          <w:rFonts w:cs="Times New Roman"/>
          <w:szCs w:val="28"/>
        </w:rPr>
        <w:t>Phone: +49 511 532 7296</w:t>
      </w:r>
    </w:p>
    <w:p w14:paraId="71513EAE" w14:textId="77777777" w:rsidR="00075D9A" w:rsidRDefault="00640D1B" w:rsidP="00905F3D">
      <w:pPr>
        <w:spacing w:line="480" w:lineRule="auto"/>
        <w:rPr>
          <w:rFonts w:cs="Times New Roman"/>
          <w:szCs w:val="28"/>
        </w:rPr>
      </w:pPr>
      <w:r>
        <w:rPr>
          <w:rFonts w:cs="Times New Roman"/>
          <w:szCs w:val="28"/>
        </w:rPr>
        <w:t>Fax: +49 511 532 7294</w:t>
      </w:r>
    </w:p>
    <w:p w14:paraId="54DE9D62" w14:textId="77777777" w:rsidR="00075D9A" w:rsidRDefault="00075D9A" w:rsidP="00905F3D">
      <w:pPr>
        <w:spacing w:line="480" w:lineRule="auto"/>
        <w:rPr>
          <w:rFonts w:eastAsia="SimSun" w:cs="Times New Roman"/>
          <w:szCs w:val="28"/>
          <w:lang w:eastAsia="zh-CN"/>
        </w:rPr>
      </w:pPr>
    </w:p>
    <w:p w14:paraId="7B48A252" w14:textId="77777777" w:rsidR="00075D9A" w:rsidRDefault="00075D9A" w:rsidP="00905F3D">
      <w:pPr>
        <w:spacing w:line="480" w:lineRule="auto"/>
        <w:jc w:val="left"/>
        <w:rPr>
          <w:rFonts w:eastAsia="SimSun"/>
          <w:b/>
          <w:lang w:eastAsia="zh-CN"/>
        </w:rPr>
      </w:pPr>
    </w:p>
    <w:p w14:paraId="2C882F4F" w14:textId="77777777" w:rsidR="00075D9A" w:rsidRDefault="00075D9A" w:rsidP="00905F3D">
      <w:pPr>
        <w:spacing w:line="480" w:lineRule="auto"/>
        <w:jc w:val="left"/>
        <w:rPr>
          <w:rFonts w:eastAsia="SimSun"/>
          <w:b/>
          <w:lang w:eastAsia="zh-CN"/>
        </w:rPr>
      </w:pPr>
    </w:p>
    <w:p w14:paraId="7F8BA590"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Abstract</w:t>
      </w:r>
    </w:p>
    <w:p w14:paraId="2B5B8A89" w14:textId="77777777" w:rsidR="00905F3D" w:rsidRPr="00905F3D" w:rsidRDefault="00640D1B" w:rsidP="00905F3D">
      <w:pPr>
        <w:spacing w:line="480" w:lineRule="auto"/>
        <w:rPr>
          <w:rFonts w:eastAsia="SimSun"/>
          <w:lang w:eastAsia="zh-CN"/>
        </w:rPr>
      </w:pPr>
      <w:r>
        <w:t>Non-small cell lung cancer (NSCLC) contains heterogeneous malignant epithelial states, but the cellular context of BACH1-associated transcription in primary tumours remains unclear. We integrated patient-resolved single-cell RNA sequencing with TCGA bulk tumours and an independent spatial transcriptomic cohort to determine whether BACH1-associated hypoxia covariance reflects a uniform transcriptional relationship or broader epithelial-state architecture. Among 13,694 malignant epithelial cells from 16 patients, a shared-gene-removed DoRothEA-derived BACH1 score correlated strongly with Hallmark hypoxia at patient level (ρ=0.868) and exceeded expression- and detection-matched random gene-set expectations (empirical P=0.002). Adjustment for dataset, quality-control features and epithelial-state composition reduced the association to ρ=0.135 and to ρ=0.011 among patients with at least 20 malignant epithelial cells. After multiplicity correction, only the stress-associated epithelial state retained evidence of a within-state association. Pan-transcription-factor benchmarking placed BACH1 among the leading hypoxia-associated regulon scores, while TCGA-LUAD/LUSC reproduced a weaker tumour-level association (ρ=0.307). Across four spatial sections from an independent NSCLC cohort, BACH1-hypoxia covariance was again positive (ρ=0.626-0.840) but markedly attenuated after state adjustment in the three LUAD sections. These cross-modal findings indicate that BACH1-associated hypoxia covariance in NSCLC is embedded within patient-specific malignant epithelial-state architecture rather than representing a uniform BACH1 regulatory axis.</w:t>
      </w:r>
    </w:p>
    <w:p w14:paraId="71DE821B" w14:textId="77777777" w:rsidR="00075D9A" w:rsidRDefault="00640D1B" w:rsidP="00905F3D">
      <w:pPr>
        <w:pStyle w:val="berschrift1"/>
        <w:spacing w:line="480" w:lineRule="auto"/>
        <w:jc w:val="left"/>
        <w:rPr>
          <w:rFonts w:ascii="Times New Roman" w:eastAsia="Times New Roman" w:hAnsi="Times New Roman"/>
          <w:sz w:val="22"/>
          <w:szCs w:val="22"/>
        </w:rPr>
      </w:pPr>
      <w:r>
        <w:rPr>
          <w:rFonts w:ascii="Times New Roman" w:eastAsia="Times New Roman" w:hAnsi="Times New Roman"/>
          <w:sz w:val="22"/>
          <w:szCs w:val="22"/>
        </w:rPr>
        <w:t>Abbreviations</w:t>
      </w:r>
    </w:p>
    <w:p w14:paraId="00324BEF" w14:textId="77777777" w:rsidR="00075D9A" w:rsidRDefault="00640D1B" w:rsidP="00905F3D">
      <w:pPr>
        <w:spacing w:line="480" w:lineRule="auto"/>
        <w:rPr>
          <w:rFonts w:cs="Times New Roman"/>
        </w:rPr>
      </w:pPr>
      <w:r>
        <w:rPr>
          <w:rFonts w:cs="Times New Roman"/>
        </w:rPr>
        <w:t>AP-1: activator protein 1</w:t>
      </w:r>
    </w:p>
    <w:p w14:paraId="2497C8B2" w14:textId="77777777" w:rsidR="00075D9A" w:rsidRDefault="00640D1B" w:rsidP="00905F3D">
      <w:pPr>
        <w:spacing w:line="480" w:lineRule="auto"/>
        <w:rPr>
          <w:rFonts w:cs="Times New Roman"/>
        </w:rPr>
      </w:pPr>
      <w:proofErr w:type="spellStart"/>
      <w:r>
        <w:rPr>
          <w:rFonts w:cs="Times New Roman"/>
        </w:rPr>
        <w:t>AUCell</w:t>
      </w:r>
      <w:proofErr w:type="spellEnd"/>
      <w:r>
        <w:rPr>
          <w:rFonts w:cs="Times New Roman"/>
        </w:rPr>
        <w:t>: area under the curve-based regulon activity scoring</w:t>
      </w:r>
    </w:p>
    <w:p w14:paraId="6DFB2955" w14:textId="77777777" w:rsidR="00075D9A" w:rsidRDefault="00640D1B" w:rsidP="00905F3D">
      <w:pPr>
        <w:spacing w:line="480" w:lineRule="auto"/>
        <w:rPr>
          <w:rFonts w:cs="Times New Roman"/>
        </w:rPr>
      </w:pPr>
      <w:r>
        <w:rPr>
          <w:rFonts w:cs="Times New Roman"/>
          <w:i/>
        </w:rPr>
        <w:t>BACH1</w:t>
      </w:r>
      <w:r>
        <w:rPr>
          <w:rFonts w:cs="Times New Roman"/>
        </w:rPr>
        <w:t>: BTB domain and CNC homolog 1</w:t>
      </w:r>
    </w:p>
    <w:p w14:paraId="576D93D8" w14:textId="77777777" w:rsidR="00075D9A" w:rsidRDefault="00640D1B" w:rsidP="00905F3D">
      <w:pPr>
        <w:spacing w:line="480" w:lineRule="auto"/>
        <w:rPr>
          <w:rFonts w:cs="Times New Roman"/>
        </w:rPr>
      </w:pPr>
      <w:r>
        <w:rPr>
          <w:rFonts w:cs="Times New Roman"/>
        </w:rPr>
        <w:lastRenderedPageBreak/>
        <w:t>CNV: copy-number variation</w:t>
      </w:r>
    </w:p>
    <w:p w14:paraId="21CDA9F3" w14:textId="77777777" w:rsidR="00075D9A" w:rsidRDefault="00640D1B" w:rsidP="00905F3D">
      <w:pPr>
        <w:spacing w:line="480" w:lineRule="auto"/>
        <w:rPr>
          <w:rFonts w:cs="Times New Roman"/>
        </w:rPr>
      </w:pPr>
      <w:r>
        <w:rPr>
          <w:rFonts w:cs="Times New Roman"/>
        </w:rPr>
        <w:t>GEO: Gene Expression Omnibus</w:t>
      </w:r>
    </w:p>
    <w:p w14:paraId="40E3B160" w14:textId="77777777" w:rsidR="00075D9A" w:rsidRDefault="00640D1B" w:rsidP="00905F3D">
      <w:pPr>
        <w:spacing w:line="480" w:lineRule="auto"/>
        <w:rPr>
          <w:rFonts w:cs="Times New Roman"/>
        </w:rPr>
      </w:pPr>
      <w:r>
        <w:rPr>
          <w:rFonts w:cs="Times New Roman"/>
        </w:rPr>
        <w:t>GRNBoost2: gradient boosting-based gene-regulatory network inference</w:t>
      </w:r>
    </w:p>
    <w:p w14:paraId="7A188CEF" w14:textId="77777777" w:rsidR="00075D9A" w:rsidRDefault="00640D1B" w:rsidP="00905F3D">
      <w:pPr>
        <w:spacing w:line="480" w:lineRule="auto"/>
        <w:rPr>
          <w:rFonts w:cs="Times New Roman"/>
        </w:rPr>
      </w:pPr>
      <w:r>
        <w:rPr>
          <w:rFonts w:cs="Times New Roman"/>
        </w:rPr>
        <w:t>GSE: Gene Expression Omnibus Series</w:t>
      </w:r>
    </w:p>
    <w:p w14:paraId="1AE39D98" w14:textId="77777777" w:rsidR="00075D9A" w:rsidRDefault="00640D1B" w:rsidP="00905F3D">
      <w:pPr>
        <w:spacing w:line="480" w:lineRule="auto"/>
        <w:rPr>
          <w:rFonts w:cs="Times New Roman"/>
        </w:rPr>
      </w:pPr>
      <w:r>
        <w:rPr>
          <w:rFonts w:cs="Times New Roman"/>
        </w:rPr>
        <w:t>JASPAR: database of transcription factor binding profiles</w:t>
      </w:r>
    </w:p>
    <w:p w14:paraId="07E83CC5" w14:textId="77777777" w:rsidR="00075D9A" w:rsidRDefault="00640D1B" w:rsidP="00905F3D">
      <w:pPr>
        <w:spacing w:line="480" w:lineRule="auto"/>
        <w:rPr>
          <w:rFonts w:cs="Times New Roman"/>
        </w:rPr>
      </w:pPr>
      <w:r>
        <w:rPr>
          <w:rFonts w:cs="Times New Roman"/>
        </w:rPr>
        <w:t>MAD: median absolute deviation</w:t>
      </w:r>
    </w:p>
    <w:p w14:paraId="736FF4DB" w14:textId="77777777" w:rsidR="00075D9A" w:rsidRDefault="00640D1B" w:rsidP="00905F3D">
      <w:pPr>
        <w:spacing w:line="480" w:lineRule="auto"/>
        <w:rPr>
          <w:color w:val="000000" w:themeColor="text1"/>
        </w:rPr>
      </w:pPr>
      <w:r>
        <w:rPr>
          <w:bCs/>
        </w:rPr>
        <w:t>MALAT1:</w:t>
      </w:r>
      <w:r>
        <w:rPr>
          <w:color w:val="000000" w:themeColor="text1"/>
        </w:rPr>
        <w:t xml:space="preserve"> metastasis associated lung adenocarcinoma transcript 1 </w:t>
      </w:r>
    </w:p>
    <w:p w14:paraId="2911649B" w14:textId="77777777" w:rsidR="00075D9A" w:rsidRDefault="00640D1B" w:rsidP="00905F3D">
      <w:pPr>
        <w:spacing w:line="480" w:lineRule="auto"/>
        <w:rPr>
          <w:rFonts w:cs="Times New Roman"/>
        </w:rPr>
      </w:pPr>
      <w:r>
        <w:rPr>
          <w:rFonts w:cs="Times New Roman"/>
          <w:bCs/>
        </w:rPr>
        <w:t>NSCLC:</w:t>
      </w:r>
      <w:r>
        <w:rPr>
          <w:rFonts w:cs="Times New Roman"/>
        </w:rPr>
        <w:t xml:space="preserve"> non-small cell lung cancer</w:t>
      </w:r>
    </w:p>
    <w:p w14:paraId="7F0100C1" w14:textId="77777777" w:rsidR="00075D9A" w:rsidRDefault="00640D1B" w:rsidP="00905F3D">
      <w:pPr>
        <w:spacing w:line="480" w:lineRule="auto"/>
        <w:rPr>
          <w:rFonts w:cs="Times New Roman"/>
        </w:rPr>
      </w:pPr>
      <w:r>
        <w:rPr>
          <w:rFonts w:cs="Times New Roman"/>
          <w:bCs/>
        </w:rPr>
        <w:t>PCA:</w:t>
      </w:r>
      <w:r>
        <w:rPr>
          <w:rFonts w:cs="Times New Roman"/>
        </w:rPr>
        <w:t xml:space="preserve"> principal-component analysis</w:t>
      </w:r>
    </w:p>
    <w:p w14:paraId="6486F5C1" w14:textId="77777777" w:rsidR="00075D9A" w:rsidRDefault="00640D1B" w:rsidP="00905F3D">
      <w:pPr>
        <w:spacing w:line="480" w:lineRule="auto"/>
        <w:rPr>
          <w:rFonts w:cs="Times New Roman"/>
        </w:rPr>
      </w:pPr>
      <w:proofErr w:type="spellStart"/>
      <w:r>
        <w:rPr>
          <w:rFonts w:cs="Times New Roman"/>
          <w:bCs/>
        </w:rPr>
        <w:t>pySCENIC</w:t>
      </w:r>
      <w:proofErr w:type="spellEnd"/>
      <w:r>
        <w:rPr>
          <w:rFonts w:cs="Times New Roman"/>
          <w:bCs/>
        </w:rPr>
        <w:t>:</w:t>
      </w:r>
      <w:r>
        <w:rPr>
          <w:rFonts w:cs="Times New Roman"/>
        </w:rPr>
        <w:t xml:space="preserve"> Python implementation of single-cell regulatory network inference and clustering</w:t>
      </w:r>
    </w:p>
    <w:p w14:paraId="288EE0E1" w14:textId="77777777" w:rsidR="00075D9A" w:rsidRDefault="00640D1B" w:rsidP="00905F3D">
      <w:pPr>
        <w:spacing w:line="480" w:lineRule="auto"/>
        <w:rPr>
          <w:rFonts w:cs="Times New Roman"/>
        </w:rPr>
      </w:pPr>
      <w:proofErr w:type="spellStart"/>
      <w:r>
        <w:rPr>
          <w:rFonts w:cs="Times New Roman"/>
          <w:bCs/>
        </w:rPr>
        <w:t>scATAC</w:t>
      </w:r>
      <w:proofErr w:type="spellEnd"/>
      <w:r>
        <w:rPr>
          <w:rFonts w:cs="Times New Roman"/>
          <w:bCs/>
        </w:rPr>
        <w:t>-seq:</w:t>
      </w:r>
      <w:r>
        <w:rPr>
          <w:rFonts w:cs="Times New Roman"/>
        </w:rPr>
        <w:t xml:space="preserve"> single-cell assay for transposase-accessible chromatin sequencing</w:t>
      </w:r>
    </w:p>
    <w:p w14:paraId="0C55E392" w14:textId="77777777" w:rsidR="00075D9A" w:rsidRDefault="00640D1B" w:rsidP="00905F3D">
      <w:pPr>
        <w:spacing w:line="480" w:lineRule="auto"/>
        <w:rPr>
          <w:rFonts w:cs="Times New Roman"/>
        </w:rPr>
      </w:pPr>
      <w:proofErr w:type="spellStart"/>
      <w:r>
        <w:rPr>
          <w:rFonts w:cs="Times New Roman"/>
          <w:bCs/>
        </w:rPr>
        <w:t>scRNA</w:t>
      </w:r>
      <w:proofErr w:type="spellEnd"/>
      <w:r>
        <w:rPr>
          <w:rFonts w:cs="Times New Roman"/>
          <w:bCs/>
        </w:rPr>
        <w:t>-seq:</w:t>
      </w:r>
      <w:r>
        <w:rPr>
          <w:rFonts w:cs="Times New Roman"/>
        </w:rPr>
        <w:t xml:space="preserve"> single-cell RNA sequencing</w:t>
      </w:r>
    </w:p>
    <w:p w14:paraId="5608049F" w14:textId="77777777" w:rsidR="00075D9A" w:rsidRDefault="00640D1B" w:rsidP="00905F3D">
      <w:pPr>
        <w:spacing w:line="480" w:lineRule="auto"/>
        <w:rPr>
          <w:rFonts w:cs="Times New Roman"/>
        </w:rPr>
      </w:pPr>
      <w:r>
        <w:rPr>
          <w:rFonts w:cs="Times New Roman"/>
          <w:bCs/>
        </w:rPr>
        <w:t>T/NK:</w:t>
      </w:r>
      <w:r>
        <w:rPr>
          <w:rFonts w:cs="Times New Roman"/>
        </w:rPr>
        <w:t xml:space="preserve"> T and natural killer cells</w:t>
      </w:r>
    </w:p>
    <w:p w14:paraId="0CA62487" w14:textId="77777777" w:rsidR="00075D9A" w:rsidRDefault="00640D1B" w:rsidP="00905F3D">
      <w:pPr>
        <w:spacing w:line="480" w:lineRule="auto"/>
        <w:rPr>
          <w:rFonts w:cs="Times New Roman"/>
        </w:rPr>
      </w:pPr>
      <w:r>
        <w:rPr>
          <w:rFonts w:cs="Times New Roman"/>
          <w:bCs/>
        </w:rPr>
        <w:t>TSS:</w:t>
      </w:r>
      <w:r>
        <w:rPr>
          <w:rFonts w:cs="Times New Roman"/>
        </w:rPr>
        <w:t xml:space="preserve"> transcription start site</w:t>
      </w:r>
    </w:p>
    <w:p w14:paraId="5CD3FD92" w14:textId="77777777" w:rsidR="00075D9A" w:rsidRDefault="00640D1B" w:rsidP="00905F3D">
      <w:pPr>
        <w:spacing w:line="480" w:lineRule="auto"/>
      </w:pPr>
      <w:r>
        <w:t>TF: transcription factor</w:t>
      </w:r>
    </w:p>
    <w:p w14:paraId="4BB3C286" w14:textId="77777777" w:rsidR="00075D9A" w:rsidRPr="00DB1968" w:rsidRDefault="00640D1B" w:rsidP="00905F3D">
      <w:pPr>
        <w:spacing w:line="480" w:lineRule="auto"/>
        <w:rPr>
          <w:rFonts w:eastAsia="SimSun" w:cs="Times New Roman"/>
          <w:lang w:eastAsia="zh-CN"/>
        </w:rPr>
      </w:pPr>
      <w:r>
        <w:rPr>
          <w:rFonts w:cs="Times New Roman"/>
        </w:rPr>
        <w:t>UMAP: Uniform Manifold Approximation and Projection</w:t>
      </w:r>
    </w:p>
    <w:p w14:paraId="4A3A6B84"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Introduction</w:t>
      </w:r>
    </w:p>
    <w:p w14:paraId="3E3B82D1" w14:textId="378FDF4A" w:rsidR="00075D9A" w:rsidRDefault="00640D1B" w:rsidP="00905F3D">
      <w:pPr>
        <w:spacing w:line="480" w:lineRule="auto"/>
      </w:pPr>
      <w:r>
        <w:t xml:space="preserve">Lung cancer remains the leading cause of cancer mortality worldwide, and NSCLC accounts for most diagnoses </w: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 </w:instrTex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1, 2</w:t>
      </w:r>
      <w:r w:rsidR="00EC6452">
        <w:fldChar w:fldCharType="end"/>
      </w:r>
      <w:r>
        <w:t xml:space="preserve">. Genomic stratification and targeted or immune-based therapies have improved outcomes for selected patients, yet malignant-cell plasticity and intratumour heterogeneity continue to drive disease progression and therapeutic adaptation </w: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 </w:instrTex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2, 3</w:t>
      </w:r>
      <w:r w:rsidR="00EC6452">
        <w:fldChar w:fldCharType="end"/>
      </w:r>
      <w:r>
        <w:t xml:space="preserve">. Single-cell studies reveal coexisting lineage, stress, metabolic and treatment-associated tumour epithelial states that vary within and between patients </w: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 </w:instrTex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3-6</w:t>
      </w:r>
      <w:r w:rsidR="00EC6452">
        <w:fldChar w:fldCharType="end"/>
      </w:r>
      <w:r>
        <w:t>. Defining transcription factors associated with these states is therefore important for understanding how malignant epithelial heterogeneity is maintained in human tumours.</w:t>
      </w:r>
    </w:p>
    <w:p w14:paraId="0C1659EE" w14:textId="0D7ED9AB" w:rsidR="00075D9A" w:rsidRDefault="00640D1B" w:rsidP="00905F3D">
      <w:pPr>
        <w:spacing w:line="480" w:lineRule="auto"/>
      </w:pPr>
      <w:r>
        <w:rPr/>
        <w:t>BACH1 is a heme-responsive basic leucine zipper transcription factor involved in oxidative-stress adaptation, heme metabolism and Maf-recognition-element regulation. Experimental lung cancer models connect BACH1 to metastatic progression, glycolytic adaptation and angiogenic transcription</w:t>
      </w:r>
      <w:r>
        <w:rPr>
          <w:vertAlign w:val="superscript"/>
        </w:rPr>
        <w:t>7-10,22</w:t>
      </w:r>
      <w:r>
        <w:rPr/>
        <w:t>. Our previous clinical and functional study further suggested context-dependent BACH1 biology in NSCLC, motivating investigation of the malignant epithelial states in which BACH1-associated transcription occurs</w:t>
      </w:r>
      <w:r>
        <w:rPr>
          <w:vertAlign w:val="superscript"/>
        </w:rPr>
        <w:t>12</w:t>
      </w:r>
      <w:r>
        <w:rPr/>
        <w:t>.</w:t>
      </w:r>
    </w:p>
    <w:p w14:paraId="5084B64F" w14:textId="1B76A68F" w:rsidR="00075D9A" w:rsidRDefault="00640D1B" w:rsidP="00905F3D">
      <w:pPr>
        <w:spacing w:line="480" w:lineRule="auto"/>
        <w:rPr>
          <w:rFonts w:eastAsia="SimSun"/>
          <w:lang w:eastAsia="zh-CN"/>
        </w:rPr>
      </w:pPr>
      <w:r>
        <w:t>Bulk tumour analyses cannot determine how much of an observed BACH1-hypoxia association reflects transcriptional coupling within malignant cells versus differences in malignant epithelial-state composition between patients. Cell-line experiments, in turn, do not resolve how these signals are distributed across primary human tumour states.</w:t>
      </w:r>
    </w:p>
    <w:p w14:paraId="0E52CD0B" w14:textId="77777777" w:rsidR="00075D9A" w:rsidRDefault="00640D1B" w:rsidP="00905F3D">
      <w:pPr>
        <w:spacing w:line="480" w:lineRule="auto"/>
        <w:rPr>
          <w:rFonts w:eastAsia="SimSun"/>
          <w:lang w:eastAsia="zh-CN"/>
        </w:rPr>
      </w:pPr>
      <w:r>
        <w:t>We therefore asked to what extent patient-level BACH1-hypoxia covariance persists after accounting for malignant epithelial-state architecture. We tested this using patient-resolved scRNA-seq, evaluated transcription-factor specificity and bulk reproducibility, and then asked whether the same state-dependent pattern was independently recapitulated in spatial transcriptomic tissue sections.</w:t>
      </w:r>
    </w:p>
    <w:p w14:paraId="1990D865"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Methods</w:t>
      </w:r>
    </w:p>
    <w:p w14:paraId="64CA5369"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Public datasets and sample selection</w:t>
      </w:r>
    </w:p>
    <w:p w14:paraId="40EED03E" w14:textId="1826F2C0" w:rsidR="00075D9A" w:rsidRDefault="00640D1B" w:rsidP="00905F3D">
      <w:pPr>
        <w:spacing w:line="480" w:lineRule="auto"/>
      </w:pPr>
      <w:r>
        <w:t xml:space="preserve">We integrated </w:t>
      </w:r>
      <w:proofErr w:type="spellStart"/>
      <w:r>
        <w:t>scRNA</w:t>
      </w:r>
      <w:proofErr w:type="spellEnd"/>
      <w:r>
        <w:t>-</w:t>
      </w:r>
      <w:proofErr w:type="gramStart"/>
      <w:r>
        <w:t>seq</w:t>
      </w:r>
      <w:proofErr w:type="gramEnd"/>
      <w:r>
        <w:t xml:space="preserve"> datasets GSE131907 </w: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 </w:instrTex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5</w:t>
      </w:r>
      <w:r w:rsidR="0088132C">
        <w:fldChar w:fldCharType="end"/>
      </w:r>
      <w:r>
        <w:t xml:space="preserve"> and GSE274934 </w: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 </w:instrTex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EN.CITE.DATA </w:instrText>
      </w:r>
      <w:r w:rsidR="0088132C">
        <w:fldChar w:fldCharType="end"/>
      </w:r>
      <w:r w:rsidR="0088132C">
        <w:fldChar w:fldCharType="separate"/>
      </w:r>
      <w:r w:rsidR="0088132C" w:rsidRPr="0088132C">
        <w:rPr>
          <w:noProof/>
          <w:vertAlign w:val="superscript"/>
        </w:rPr>
        <w:t>6</w:t>
      </w:r>
      <w:r w:rsidR="0088132C">
        <w:fldChar w:fldCharType="end"/>
      </w:r>
      <w:r>
        <w:t xml:space="preserve">, retaining 11 primary lung </w:t>
      </w:r>
      <w:proofErr w:type="spellStart"/>
      <w:r>
        <w:t>tumour</w:t>
      </w:r>
      <w:proofErr w:type="spellEnd"/>
      <w:r>
        <w:t xml:space="preserve"> and 11 non-</w:t>
      </w:r>
      <w:proofErr w:type="spellStart"/>
      <w:r>
        <w:t>tumour</w:t>
      </w:r>
      <w:proofErr w:type="spellEnd"/>
      <w:r>
        <w:t xml:space="preserve"> lung samples from GSE131907 and nine </w:t>
      </w:r>
      <w:proofErr w:type="gramStart"/>
      <w:r>
        <w:t xml:space="preserve">lung </w:t>
      </w:r>
      <w:proofErr w:type="spellStart"/>
      <w:r>
        <w:t>tumour</w:t>
      </w:r>
      <w:proofErr w:type="spellEnd"/>
      <w:proofErr w:type="gramEnd"/>
      <w:r>
        <w:t xml:space="preserve"> samples from GSE274934. The combined input comprised 31 samples and 189,299 cell barcodes.</w:t>
      </w:r>
    </w:p>
    <w:p w14:paraId="338148A2"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Construction and quality control of the </w:t>
      </w:r>
      <w:proofErr w:type="spellStart"/>
      <w:r>
        <w:rPr>
          <w:rFonts w:ascii="Times New Roman" w:eastAsia="Times New Roman" w:hAnsi="Times New Roman"/>
          <w:sz w:val="22"/>
          <w:szCs w:val="22"/>
        </w:rPr>
        <w:t>scRNA</w:t>
      </w:r>
      <w:proofErr w:type="spellEnd"/>
      <w:r>
        <w:rPr>
          <w:rFonts w:ascii="Times New Roman" w:eastAsia="Times New Roman" w:hAnsi="Times New Roman"/>
          <w:sz w:val="22"/>
          <w:szCs w:val="22"/>
        </w:rPr>
        <w:t>-seq atlas</w:t>
      </w:r>
    </w:p>
    <w:p w14:paraId="01CC50A3" w14:textId="7AAA595F" w:rsidR="00075D9A" w:rsidRDefault="00640D1B" w:rsidP="00905F3D">
      <w:pPr>
        <w:spacing w:line="480" w:lineRule="auto"/>
      </w:pPr>
      <w:r>
        <w:t xml:space="preserve">Author raw count matrices were imported as </w:t>
      </w:r>
      <w:proofErr w:type="spellStart"/>
      <w:r>
        <w:t>AnnData</w:t>
      </w:r>
      <w:proofErr w:type="spellEnd"/>
      <w:r>
        <w:t xml:space="preserve"> objects and merged by gene symbol. </w:t>
      </w:r>
      <w:proofErr w:type="spellStart"/>
      <w:r>
        <w:t>Scanpy</w:t>
      </w:r>
      <w:proofErr w:type="spellEnd"/>
      <w:r>
        <w:t xml:space="preserve"> </w: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 </w:instrTex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13</w:t>
      </w:r>
      <w:r w:rsidR="0088132C">
        <w:fldChar w:fldCharType="end"/>
      </w:r>
      <w:r>
        <w:t xml:space="preserve"> was used to calculate per-cell quality-control metrics, including mitochondrial, ribosomal and </w:t>
      </w:r>
      <w:proofErr w:type="spellStart"/>
      <w:r>
        <w:t>haemoglobin</w:t>
      </w:r>
      <w:proofErr w:type="spellEnd"/>
      <w:r>
        <w:t xml:space="preserve"> </w:t>
      </w:r>
      <w:r>
        <w:lastRenderedPageBreak/>
        <w:t xml:space="preserve">fractions. Cells were retained with 200-5,000 detected genes, at least 500 total counts, less than 15% mitochondrial counts and less than 1% </w:t>
      </w:r>
      <w:proofErr w:type="spellStart"/>
      <w:r>
        <w:t>haemoglobin</w:t>
      </w:r>
      <w:proofErr w:type="spellEnd"/>
      <w:r>
        <w:t xml:space="preserve"> counts, retaining 177,128 of 189,299 input cells (93.57%). Ribosomal fractions were </w:t>
      </w:r>
      <w:proofErr w:type="spellStart"/>
      <w:r>
        <w:t>summarised</w:t>
      </w:r>
      <w:proofErr w:type="spellEnd"/>
      <w:r>
        <w:t xml:space="preserve"> but not used for filtering.</w:t>
      </w:r>
    </w:p>
    <w:p w14:paraId="163E3244" w14:textId="18B4A030" w:rsidR="00075D9A" w:rsidRDefault="00640D1B" w:rsidP="00905F3D">
      <w:pPr>
        <w:spacing w:line="480" w:lineRule="auto"/>
      </w:pPr>
      <w:proofErr w:type="spellStart"/>
      <w:r>
        <w:t>Scrublet</w:t>
      </w:r>
      <w:proofErr w:type="spellEnd"/>
      <w:r>
        <w:t xml:space="preserve"> </w: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 </w:instrTex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14</w:t>
      </w:r>
      <w:r w:rsidR="0088132C">
        <w:fldChar w:fldCharType="end"/>
      </w:r>
      <w:r>
        <w:t xml:space="preserve"> was run within each sample with expected doublet rate 0.05, 28 principal components and random seed 7. After removing 834 predicted doublets and genes detected in fewer than 20 cells, the final atlas contained 176,294 singlets and 28,301 genes; raw counts were retained in a separate layer.</w:t>
      </w:r>
    </w:p>
    <w:p w14:paraId="6B1B2542" w14:textId="77777777" w:rsidR="00075D9A" w:rsidRDefault="00640D1B" w:rsidP="00905F3D">
      <w:pPr>
        <w:pStyle w:val="berschrift2"/>
        <w:spacing w:line="480" w:lineRule="auto"/>
        <w:jc w:val="left"/>
        <w:rPr>
          <w:sz w:val="22"/>
          <w:szCs w:val="22"/>
        </w:rPr>
      </w:pPr>
      <w:proofErr w:type="spellStart"/>
      <w:r>
        <w:rPr>
          <w:rFonts w:ascii="Times New Roman" w:eastAsia="Times New Roman" w:hAnsi="Times New Roman"/>
          <w:sz w:val="22"/>
          <w:szCs w:val="22"/>
        </w:rPr>
        <w:t>Normalisation</w:t>
      </w:r>
      <w:proofErr w:type="spellEnd"/>
      <w:r>
        <w:rPr>
          <w:rFonts w:ascii="Times New Roman" w:eastAsia="Times New Roman" w:hAnsi="Times New Roman"/>
          <w:sz w:val="22"/>
          <w:szCs w:val="22"/>
        </w:rPr>
        <w:t>, integration and broad cell-type annotation</w:t>
      </w:r>
    </w:p>
    <w:p w14:paraId="0B713B8F" w14:textId="5733B99B" w:rsidR="00075D9A" w:rsidRDefault="00640D1B" w:rsidP="00905F3D">
      <w:pPr>
        <w:spacing w:line="480" w:lineRule="auto"/>
      </w:pPr>
      <w:r>
        <w:t xml:space="preserve">Counts were </w:t>
      </w:r>
      <w:proofErr w:type="spellStart"/>
      <w:r>
        <w:t>normalised</w:t>
      </w:r>
      <w:proofErr w:type="spellEnd"/>
      <w:r>
        <w:t xml:space="preserve"> to 10,000 per cell and log1p-transformed. We selected 3,000 highly variable genes, computed 50 PCA components and applied Harmony </w: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 </w:instrTex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EN.CITE.DATA </w:instrText>
      </w:r>
      <w:r w:rsidR="00555B1E">
        <w:fldChar w:fldCharType="end"/>
      </w:r>
      <w:r w:rsidR="00555B1E">
        <w:fldChar w:fldCharType="separate"/>
      </w:r>
      <w:r w:rsidR="00555B1E" w:rsidRPr="00555B1E">
        <w:rPr>
          <w:noProof/>
          <w:vertAlign w:val="superscript"/>
        </w:rPr>
        <w:t>15</w:t>
      </w:r>
      <w:r w:rsidR="00555B1E">
        <w:fldChar w:fldCharType="end"/>
      </w:r>
      <w:r>
        <w:t xml:space="preserve"> using </w:t>
      </w:r>
      <w:proofErr w:type="spellStart"/>
      <w:r>
        <w:t>sample_id</w:t>
      </w:r>
      <w:proofErr w:type="spellEnd"/>
      <w:r>
        <w:t xml:space="preserve"> as the integration variable. </w:t>
      </w:r>
      <w:proofErr w:type="spellStart"/>
      <w:r>
        <w:t>Neighbours</w:t>
      </w:r>
      <w:proofErr w:type="spellEnd"/>
      <w:r>
        <w:t xml:space="preserve"> were constructed from the first 40 Harmony components with 15 </w:t>
      </w:r>
      <w:proofErr w:type="spellStart"/>
      <w:r>
        <w:t>neighbours</w:t>
      </w:r>
      <w:proofErr w:type="spellEnd"/>
      <w:r>
        <w:t xml:space="preserve">, and UMAP </w:t>
      </w:r>
      <w:r w:rsidR="00555B1E">
        <w:fldChar w:fldCharType="begin"/>
      </w:r>
      <w:r w:rsidR="00555B1E">
        <w:instrText xml:space="preserve"> ADDIN EN.CITE &lt;EndNote&gt;&lt;Cite&gt;&lt;Author&gt;McInnes&lt;/Author&gt;&lt;Year&gt;2018&lt;/Year&gt;&lt;RecNum&gt;194&lt;/RecNum&gt;&lt;DisplayText&gt;&lt;style face="superscript"&gt;18&lt;/style&gt;&lt;/DisplayText&gt;&lt;record&gt;&lt;rec-number&gt;194&lt;/rec-number&gt;&lt;foreign-keys&gt;&lt;key app="EN" db-id="etpzwrzaazffxfedxxjxwtp8zsx2tpvsv5d0" timestamp="1787303298"&gt;194&lt;/key&gt;&lt;/foreign-keys&gt;&lt;ref-type name="Journal Article"&gt;17&lt;/ref-type&gt;&lt;contributors&gt;&lt;authors&gt;&lt;author&gt;McInnes, L., Healy, J., Saul, N. &amp;amp; Grossberger, L&lt;/author&gt;&lt;/authors&gt;&lt;/contributors&gt;&lt;titles&gt;&lt;title&gt;UMAP: Uniform Manifold Approximation and Projection&lt;/title&gt;&lt;secondary-title&gt;Journal of Open Source Software&lt;/secondary-title&gt;&lt;/titles&gt;&lt;periodical&gt;&lt;full-title&gt;Journal of Open Source Software&lt;/full-title&gt;&lt;/periodical&gt;&lt;pages&gt;861&lt;/pages&gt;&lt;volume&gt;3&lt;/volume&gt;&lt;number&gt;29&lt;/number&gt;&lt;dates&gt;&lt;year&gt;2018&lt;/year&gt;&lt;/dates&gt;&lt;urls&gt;&lt;/urls&gt;&lt;electronic-resource-num&gt;https://doi.org/10.21105/joss.00861&lt;/electronic-resource-num&gt;&lt;/record&gt;&lt;/Cite&gt;&lt;/EndNote&gt;</w:instrText>
      </w:r>
      <w:r w:rsidR="00555B1E">
        <w:fldChar w:fldCharType="separate"/>
      </w:r>
      <w:r w:rsidR="00555B1E" w:rsidRPr="00555B1E">
        <w:rPr>
          <w:noProof/>
          <w:vertAlign w:val="superscript"/>
        </w:rPr>
        <w:t>16</w:t>
      </w:r>
      <w:r w:rsidR="00555B1E">
        <w:fldChar w:fldCharType="end"/>
      </w:r>
      <w:r>
        <w:t xml:space="preserve"> used </w:t>
      </w:r>
      <w:proofErr w:type="spellStart"/>
      <w:r>
        <w:t>min_dist</w:t>
      </w:r>
      <w:proofErr w:type="spellEnd"/>
      <w:r>
        <w:t>=0.35, spread=1.0 and random seed 7.</w:t>
      </w:r>
    </w:p>
    <w:p w14:paraId="120683B1" w14:textId="3E3A1834" w:rsidR="00075D9A" w:rsidRDefault="00640D1B" w:rsidP="00905F3D">
      <w:pPr>
        <w:spacing w:line="480" w:lineRule="auto"/>
      </w:pPr>
      <w:r>
        <w:t xml:space="preserve">Leiden clustering </w:t>
      </w:r>
      <w:r w:rsidR="00555B1E">
        <w:fldChar w:fldCharType="begin"/>
      </w:r>
      <w:r w:rsidR="00555B1E">
        <w:instrText xml:space="preserve"> ADDIN EN.CITE &lt;EndNote&gt;&lt;Cite&gt;&lt;Author&gt;Traag&lt;/Author&gt;&lt;Year&gt;2019&lt;/Year&gt;&lt;RecNum&gt;195&lt;/RecNum&gt;&lt;DisplayText&gt;&lt;style face="superscript"&gt;19&lt;/style&gt;&lt;/DisplayText&gt;&lt;record&gt;&lt;rec-number&gt;195&lt;/rec-number&gt;&lt;foreign-keys&gt;&lt;key app="EN" db-id="etpzwrzaazffxfedxxjxwtp8zsx2tpvsv5d0" timestamp="1787303747"&gt;195&lt;/key&gt;&lt;/foreign-keys&gt;&lt;ref-type name="Journal Article"&gt;17&lt;/ref-type&gt;&lt;contributors&gt;&lt;authors&gt;&lt;author&gt;Traag, V. A.&lt;/author&gt;&lt;author&gt;Waltman, L.&lt;/author&gt;&lt;author&gt;van Eck, N. J.&lt;/author&gt;&lt;/authors&gt;&lt;/contributors&gt;&lt;auth-address&gt;Centre for Science and Technology Studies, Leiden University, Leiden, The Netherlands. v.a.traag@cwts.leidenuniv.nl.&amp;#xD;Centre for Science and Technology Studies, Leiden University, Leiden, The Netherlands.&lt;/auth-address&gt;&lt;titles&gt;&lt;title&gt;From Louvain to Leiden: guaranteeing well-connected communities&lt;/title&gt;&lt;secondary-title&gt;Sci Rep&lt;/secondary-title&gt;&lt;/titles&gt;&lt;periodical&gt;&lt;full-title&gt;Sci Rep&lt;/full-title&gt;&lt;/periodical&gt;&lt;pages&gt;5233&lt;/pages&gt;&lt;volume&gt;9&lt;/volume&gt;&lt;number&gt;1&lt;/number&gt;&lt;edition&gt;20190326&lt;/edition&gt;&lt;dates&gt;&lt;year&gt;2019&lt;/year&gt;&lt;pub-dates&gt;&lt;date&gt;Mar 26&lt;/date&gt;&lt;/pub-dates&gt;&lt;/dates&gt;&lt;isbn&gt;2045-2322&lt;/isbn&gt;&lt;accession-num&gt;30914743&lt;/accession-num&gt;&lt;urls&gt;&lt;/urls&gt;&lt;custom1&gt;The authors act as bibliometric consultants to CWTS B.V., which makes use of community detection algorithms in commercial products and services.&lt;/custom1&gt;&lt;custom2&gt;PMC6435756&lt;/custom2&gt;&lt;electronic-resource-num&gt;10.1038/s41598-019-41695-z&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17</w:t>
      </w:r>
      <w:r w:rsidR="00555B1E">
        <w:fldChar w:fldCharType="end"/>
      </w:r>
      <w:r>
        <w:t xml:space="preserve"> was performed at resolutions 0.3 and 0.8. Broad cell identities were assigned from ranked cluster markers and canonical marker-module scores for epithelial, T/NK, B, plasma, myeloid, mast, endothelial and fibroblast compartments; proliferation was scored as a state module but did not replace lineage identity. Marker genes and module membership are provided in the source tables.</w:t>
      </w:r>
    </w:p>
    <w:p w14:paraId="1EF6CD42" w14:textId="58F2F2BA" w:rsidR="00075D9A" w:rsidRDefault="00640D1B" w:rsidP="00905F3D">
      <w:pPr>
        <w:spacing w:line="480" w:lineRule="auto"/>
      </w:pPr>
      <w:r>
        <w:t xml:space="preserve">Cluster markers used two-sided Wilcoxon rank-sum tests with Benjamini-Hochberg correction </w:t>
      </w:r>
      <w:r w:rsidR="00555B1E">
        <w:fldChar w:fldCharType="begin"/>
      </w:r>
      <w:r w:rsidR="00555B1E">
        <w:instrText xml:space="preserve"> ADDIN EN.CITE &lt;EndNote&gt;&lt;Cite&gt;&lt;Author&gt;Benjamini&lt;/Author&gt;&lt;Year&gt;2001&lt;/Year&gt;&lt;RecNum&gt;196&lt;/RecNum&gt;&lt;DisplayText&gt;&lt;style face="superscript"&gt;20&lt;/style&gt;&lt;/DisplayText&gt;&lt;record&gt;&lt;rec-number&gt;196&lt;/rec-number&gt;&lt;foreign-keys&gt;&lt;key app="EN" db-id="etpzwrzaazffxfedxxjxwtp8zsx2tpvsv5d0" timestamp="1787303848"&gt;196&lt;/key&gt;&lt;/foreign-keys&gt;&lt;ref-type name="Journal Article"&gt;17&lt;/ref-type&gt;&lt;contributors&gt;&lt;authors&gt;&lt;author&gt;Benjamini, Y.&lt;/author&gt;&lt;author&gt;Drai, D.&lt;/author&gt;&lt;author&gt;Elmer, G.&lt;/author&gt;&lt;author&gt;Kafkafi, N.&lt;/author&gt;&lt;author&gt;Golani, I.&lt;/author&gt;&lt;/authors&gt;&lt;/contributors&gt;&lt;auth-address&gt;Department of Statistics and O.R., The Sackler Faculty of Exact Sciences, Tel Aviv University, Tel Aviv, Israel. ybenja@post.tau.ac.il&lt;/auth-address&gt;&lt;titles&gt;&lt;title&gt;Controlling the false discovery rate in behavior genetics research&lt;/title&gt;&lt;secondary-title&gt;Behav Brain Res&lt;/secondary-title&gt;&lt;/titles&gt;&lt;periodical&gt;&lt;full-title&gt;Behav Brain Res&lt;/full-title&gt;&lt;/periodical&gt;&lt;pages&gt;279-84&lt;/pages&gt;&lt;volume&gt;125&lt;/volume&gt;&lt;number&gt;1-2&lt;/number&gt;&lt;keywords&gt;&lt;keyword&gt;Animals&lt;/keyword&gt;&lt;keyword&gt;Bias&lt;/keyword&gt;&lt;keyword&gt;Brain/physiology&lt;/keyword&gt;&lt;keyword&gt;Exploratory Behavior/physiology&lt;/keyword&gt;&lt;keyword&gt;*Genetics, Behavioral&lt;/keyword&gt;&lt;keyword&gt;Mice&lt;/keyword&gt;&lt;keyword&gt;Mice, Inbred Strains&lt;/keyword&gt;&lt;keyword&gt;*Phenotype&lt;/keyword&gt;&lt;keyword&gt;Reproducibility of Results&lt;/keyword&gt;&lt;/keywords&gt;&lt;dates&gt;&lt;year&gt;2001&lt;/year&gt;&lt;pub-dates&gt;&lt;date&gt;Nov 1&lt;/date&gt;&lt;/pub-dates&gt;&lt;/dates&gt;&lt;isbn&gt;0166-4328 (Print)&amp;#xD;0166-4328&lt;/isbn&gt;&lt;accession-num&gt;11682119&lt;/accession-num&gt;&lt;urls&gt;&lt;/urls&gt;&lt;electronic-resource-num&gt;10.1016/s0166-4328(01)00297-2&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18</w:t>
      </w:r>
      <w:r w:rsidR="00555B1E">
        <w:fldChar w:fldCharType="end"/>
      </w:r>
      <w:r>
        <w:t>. Cell-type proportions were presented descriptively at sample level.</w:t>
      </w:r>
    </w:p>
    <w:p w14:paraId="7D2D1A0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Epithelial cell </w:t>
      </w:r>
      <w:proofErr w:type="spellStart"/>
      <w:r>
        <w:rPr>
          <w:rFonts w:ascii="Times New Roman" w:eastAsia="Times New Roman" w:hAnsi="Times New Roman"/>
          <w:sz w:val="22"/>
          <w:szCs w:val="22"/>
        </w:rPr>
        <w:t>reclustering</w:t>
      </w:r>
      <w:proofErr w:type="spellEnd"/>
      <w:r>
        <w:rPr>
          <w:rFonts w:ascii="Times New Roman" w:eastAsia="Times New Roman" w:hAnsi="Times New Roman"/>
          <w:sz w:val="22"/>
          <w:szCs w:val="22"/>
        </w:rPr>
        <w:t xml:space="preserve"> and state annotation</w:t>
      </w:r>
    </w:p>
    <w:p w14:paraId="464CF342" w14:textId="77777777" w:rsidR="00075D9A" w:rsidRDefault="00640D1B" w:rsidP="00905F3D">
      <w:pPr>
        <w:spacing w:line="480" w:lineRule="auto"/>
      </w:pPr>
      <w:r>
        <w:t xml:space="preserve">The 24,481 broad epithelial cells were reprocessed from raw counts. Genes detected in at least ten epithelial cells were retained, counts were </w:t>
      </w:r>
      <w:proofErr w:type="spellStart"/>
      <w:r>
        <w:t>normalised</w:t>
      </w:r>
      <w:proofErr w:type="spellEnd"/>
      <w:r>
        <w:t xml:space="preserve"> and log-transformed, and 4,000 highly variable genes were selected using dataset as the batch key. Mitochondrial, ribosomal, </w:t>
      </w:r>
      <w:proofErr w:type="spellStart"/>
      <w:r>
        <w:t>haemoglobin</w:t>
      </w:r>
      <w:proofErr w:type="spellEnd"/>
      <w:r>
        <w:t>, cell-cycle, AP-1, heat-shock, MALAT1 and XIST features were excluded from PCA to reduce technical or transient-</w:t>
      </w:r>
      <w:proofErr w:type="spellStart"/>
      <w:r>
        <w:lastRenderedPageBreak/>
        <w:t>programme</w:t>
      </w:r>
      <w:proofErr w:type="spellEnd"/>
      <w:r>
        <w:t xml:space="preserve"> clustering. Harmony correction used </w:t>
      </w:r>
      <w:proofErr w:type="gramStart"/>
      <w:r>
        <w:t>dataset</w:t>
      </w:r>
      <w:proofErr w:type="gramEnd"/>
      <w:r>
        <w:t xml:space="preserve">, rather than individual </w:t>
      </w:r>
      <w:proofErr w:type="gramStart"/>
      <w:r>
        <w:t>sample</w:t>
      </w:r>
      <w:proofErr w:type="gramEnd"/>
      <w:r>
        <w:t>, to limit removal of patient-associated epithelial heterogeneity.</w:t>
      </w:r>
    </w:p>
    <w:p w14:paraId="111D0E1C" w14:textId="77777777" w:rsidR="00075D9A" w:rsidRDefault="00640D1B" w:rsidP="00905F3D">
      <w:pPr>
        <w:spacing w:line="480" w:lineRule="auto"/>
      </w:pPr>
      <w:r>
        <w:t>Leiden resolution 0.6 yielded 21 epithelial clusters, annotated from marker genes and epithelial-</w:t>
      </w:r>
      <w:proofErr w:type="spellStart"/>
      <w:r>
        <w:t>programme</w:t>
      </w:r>
      <w:proofErr w:type="spellEnd"/>
      <w:r>
        <w:t xml:space="preserve"> scores without reference to CNV status. Eleven marker-defined epithelial states were retained. Four clusters with incompatible lineage or probable doublet-associated profiles were excluded from downstream </w:t>
      </w:r>
      <w:r>
        <w:rPr>
          <w:i/>
        </w:rPr>
        <w:t>BACH1</w:t>
      </w:r>
      <w:r>
        <w:t xml:space="preserve"> analyses; all retained and excluded clusters are documented in the source tables.</w:t>
      </w:r>
    </w:p>
    <w:p w14:paraId="22B30790"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Expression-based CNV inference and operational definition of malignant epithelial cells</w:t>
      </w:r>
    </w:p>
    <w:p w14:paraId="4935EC6A" w14:textId="77777777" w:rsidR="00075D9A" w:rsidRDefault="00640D1B" w:rsidP="00905F3D">
      <w:pPr>
        <w:spacing w:line="480" w:lineRule="auto"/>
      </w:pPr>
      <w:r>
        <w:t>Expression-derived CNV support was inferred with infercnvpy v0.6.1 using immune and non-tumour epithelial reference populations. The primary malignant epithelial set combined GSE131907 author malignant annotations with GSE274934 cells supported by at least one of three CNV strategies, yielding 13,694 cells from 16 patients. The restricted sensitivity set required support from at least two CNV strategies and contained 4,906 cells. Reference construction, smoothing, clustering and burden-threshold parameters are provided in the Supplementary Methods.</w:t>
      </w:r>
    </w:p>
    <w:p w14:paraId="6D594EE4" w14:textId="77777777" w:rsidR="00075D9A" w:rsidRDefault="00640D1B" w:rsidP="00905F3D">
      <w:pPr>
        <w:spacing w:line="480" w:lineRule="auto"/>
      </w:pPr>
      <w:r>
        <w:t>CNV calls were treated as expression-derived operational classifications, not direct DNA copy-number measurements.</w:t>
      </w:r>
    </w:p>
    <w:p w14:paraId="163463D0" w14:textId="77777777" w:rsidR="00075D9A" w:rsidRDefault="00640D1B" w:rsidP="00905F3D">
      <w:pPr>
        <w:pStyle w:val="berschrift2"/>
        <w:spacing w:line="480" w:lineRule="auto"/>
        <w:jc w:val="left"/>
        <w:rPr>
          <w:sz w:val="22"/>
          <w:szCs w:val="22"/>
        </w:rPr>
      </w:pPr>
      <w:r>
        <w:t>BACH1 transcript detection</w:t>
      </w:r>
    </w:p>
    <w:p w14:paraId="72E5D416" w14:textId="77777777" w:rsidR="00075D9A" w:rsidRDefault="00640D1B" w:rsidP="00905F3D">
      <w:pPr>
        <w:spacing w:line="480" w:lineRule="auto"/>
      </w:pPr>
      <w:r>
        <w:t xml:space="preserve">BACH1 expression was examined in the 13,694-cell primary malignant epithelial population. Because BACH1 showed a sparse count distribution typical of </w:t>
      </w:r>
      <w:proofErr w:type="spellStart"/>
      <w:r>
        <w:t>scRNA</w:t>
      </w:r>
      <w:proofErr w:type="spellEnd"/>
      <w:r>
        <w:t>-seq transcript detection, cells with non-zero log-</w:t>
      </w:r>
      <w:proofErr w:type="spellStart"/>
      <w:r>
        <w:t>normalised</w:t>
      </w:r>
      <w:proofErr w:type="spellEnd"/>
      <w:r>
        <w:t xml:space="preserve"> BACH1 expression were designated BACH1-detected, whereas cells with no detected transcript were designated BACH1-undetected. This classification yielded 2,643 BACH1-detected and 11,051 BACH1-undetected cells (19.3% detected) and served as the transcript-detection grouping for downstream analyses; patient-aware sensitivity analyses assessed robustness. The restricted CNV-consensus sensitivity set contained 4,906 cells, of which 784 were BACH1-detected (16.0%).</w:t>
      </w:r>
    </w:p>
    <w:p w14:paraId="760652AA" w14:textId="77777777" w:rsidR="00075D9A" w:rsidRDefault="00640D1B" w:rsidP="00905F3D">
      <w:pPr>
        <w:spacing w:line="480" w:lineRule="auto"/>
        <w:rPr>
          <w:color w:val="000000" w:themeColor="text1"/>
        </w:rPr>
      </w:pPr>
      <w:r>
        <w:t>Differential-expression, co-expression and partial-correlation analyses were retained as supplementary regulatory-candidate context and are described in the Supplementary Methods and Supplementary Tables 3-4.</w:t>
      </w:r>
    </w:p>
    <w:p w14:paraId="58E05FFB" w14:textId="77777777" w:rsidR="00075D9A" w:rsidRPr="00487852" w:rsidRDefault="00640D1B" w:rsidP="00905F3D">
      <w:pPr>
        <w:pStyle w:val="berschrift2"/>
        <w:spacing w:line="480" w:lineRule="auto"/>
        <w:jc w:val="left"/>
        <w:rPr>
          <w:rFonts w:ascii="Times New Roman" w:eastAsia="SimSun" w:hAnsi="Times New Roman" w:hint="eastAsia"/>
          <w:sz w:val="22"/>
          <w:szCs w:val="22"/>
          <w:lang w:eastAsia="zh-CN"/>
        </w:rPr>
      </w:pPr>
      <w:r>
        <w:t>External BACH1 signature scoring and robustness analysis</w:t>
      </w:r>
    </w:p>
    <w:p w14:paraId="32CF063D" w14:textId="77777777" w:rsidR="00075D9A" w:rsidRDefault="00640D1B" w:rsidP="00905F3D">
      <w:pPr>
        <w:spacing w:line="480" w:lineRule="auto"/>
      </w:pPr>
      <w:r>
        <w:t>DoRothEA was used as the primary BACH1 score after comparison with predefined external BACH1 resources; alternative resources and scoring implementations are detailed in the Supplementary Methods and Supplementary Table 2. Directional mean-z scores used gene-wise standardized log-normalised expression and signed weights. After filtering and duplicate collapse, 84 DoRothEA targets contributed to the primary score; removal of ALDOA, HMOX1 and IL6 from both DoRothEA and Hallmark hypoxia scores left 81 and 191 genes, respectively.</w:t>
      </w:r>
    </w:p>
    <w:p w14:paraId="4B2F14C5" w14:textId="77777777" w:rsidR="00075D9A" w:rsidRDefault="00640D1B" w:rsidP="00905F3D">
      <w:pPr>
        <w:spacing w:line="480" w:lineRule="auto"/>
      </w:pPr>
      <w:r>
        <w:t>DoRothEA-hypoxia overlap was quantified before and after shared-gene removal. Independent 1,000-permutation matched random-gene-set analyses were run for the original 84-gene and de-overlapped 81-gene scores, using 20-bin matching for mean expression and detection fraction; empirical one-sided P values used (b+1)/(B+1). Leave-one-patient-out analyses recalculated correlations after omitting each patient. Patient-level QC-adjusted models used the de-overlapped DoRothEA score as outcome and BACH1 detection, log total counts, detected genes, mitochondrial percentage and simplified epithelial state as covariates. Patients were evaluable when they contributed at least 20 malignant epithelial cells, including at least three BACH1-detected and three BACH1-undetected cells; patient-specific coefficients were tested against zero with a two-sided Wilcoxon signed-rank test. Both scores were also residualized for dataset, patient-level QC features and two epithelial-state composition PCs. Full diagnostics are provided in Supplementary Table 2.</w:t>
      </w:r>
    </w:p>
    <w:p w14:paraId="683CB5C3" w14:textId="77777777" w:rsidR="00075D9A" w:rsidRDefault="00640D1B" w:rsidP="00905F3D">
      <w:pPr>
        <w:pStyle w:val="berschrift2"/>
      </w:pPr>
      <w:r>
        <w:t>Epithelial-state context and pan-TF benchmarking</w:t>
      </w:r>
    </w:p>
    <w:p w14:paraId="7C15DEC4" w14:textId="77777777" w:rsidR="00075D9A" w:rsidRDefault="00640D1B" w:rsidP="00905F3D">
      <w:pPr>
        <w:spacing w:line="480" w:lineRule="auto"/>
      </w:pPr>
      <w:r>
        <w:t>For state-level analyses, primary malignant epithelial cells were collapsed to six interpretable epithelial-state classes: Stress-associated, Ciliated-like, Epithelial core, Proliferative, AT2-like and Other. Per-state summaries reported cell and patient counts, BACH1 transcript detection and pathway scores; malignancy support and patient dominance were audited separately. A predefined immediate-early/dissociation programme was used as a sensitivity analysis (Supplementary Methods and Supplementary Table 4). Patient-state units with at least ten cells were used for within-state Spearman correlations. For the three states with at least four evaluable units, two-sided exact P values were obtained by enumerating all rank permutations (n≤9) and were Holm-adjusted across states; displayed Fisher-z 95% confidence intervals were approximate and not used for inference. Patient-level attenuation residualized both scores for dataset, QC features and two composition PCs derived from centred proportions of the six states; a CLR-transformed sensitivity used a 0.5-cell pseudocount before PCA.</w:t>
      </w:r>
    </w:p>
    <w:p w14:paraId="6E0FF8BD" w14:textId="77777777" w:rsidR="00075D9A" w:rsidRDefault="00640D1B" w:rsidP="00905F3D">
      <w:pPr>
        <w:spacing w:line="480" w:lineRule="auto"/>
      </w:pPr>
      <w:r>
        <w:t>To place the BACH1 score within the broader DoRothEA TF landscape, directional mean-z scores were recomputed for DoRothEA A-C TF regulons in the primary malignant epithelial matrix. For each TF, targets overlapping Hallmark hypoxia were removed before ranking; TFs retaining at least ten expressed targets after this TF-specific de-overlap were kept. Per-cell scores were averaged by patient and correlated with the patient-level shared-gene-removed Hallmark hypoxia score; Benjamini-Hochberg FDR was calculated across evaluable TFs. Ranks were assigned in descending order of Spearman ρ using the minimum shared rank for ties. BACH1 was compared with the ten highest-ranking regulons and selected hypoxia, stress and oncogenic TFs including EPAS1, HIF1A, NFE2L2, ATF4, JUN, FOS and MYC. Full pan-TF benchmark and scRNA cohort-stratified source tables are provided in Supplementary Table 5.</w:t>
      </w:r>
    </w:p>
    <w:p w14:paraId="58886BD3" w14:textId="77777777" w:rsidR="00075D9A" w:rsidRDefault="00640D1B" w:rsidP="00905F3D">
      <w:pPr>
        <w:pStyle w:val="berschrift2"/>
        <w:spacing w:line="480" w:lineRule="auto"/>
        <w:rPr>
          <w:rFonts w:ascii="Times New Roman" w:eastAsia="Times New Roman" w:hAnsi="Times New Roman"/>
          <w:sz w:val="22"/>
          <w:szCs w:val="22"/>
        </w:rPr>
      </w:pPr>
      <w:r>
        <w:rPr>
          <w:rFonts w:ascii="Times New Roman" w:eastAsia="Times New Roman" w:hAnsi="Times New Roman"/>
          <w:sz w:val="22"/>
          <w:szCs w:val="22"/>
        </w:rPr>
        <w:t>Independent bulk-cohort TCGA replication of the score association</w:t>
      </w:r>
    </w:p>
    <w:p w14:paraId="049D5818" w14:textId="71311FBF" w:rsidR="00075D9A" w:rsidRDefault="00640D1B" w:rsidP="00905F3D">
      <w:pPr>
        <w:spacing w:line="480" w:lineRule="auto"/>
      </w:pPr>
      <w:r>
        <w:t xml:space="preserve">TCGA-LUAD and TCGA-LUSC primary </w:t>
      </w:r>
      <w:proofErr w:type="spellStart"/>
      <w:r>
        <w:t>tumour</w:t>
      </w:r>
      <w:proofErr w:type="spellEnd"/>
      <w:r>
        <w:t xml:space="preserve"> RNA-seq matrices and </w:t>
      </w:r>
      <w:proofErr w:type="spellStart"/>
      <w:r>
        <w:t>clinicalMatrix</w:t>
      </w:r>
      <w:proofErr w:type="spellEnd"/>
      <w:r>
        <w:t xml:space="preserve"> files were downloaded from UCSC Xena </w: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 </w:instrTex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EN.CITE.DATA </w:instrText>
      </w:r>
      <w:r w:rsidR="00487852">
        <w:fldChar w:fldCharType="end"/>
      </w:r>
      <w:r w:rsidR="00487852">
        <w:fldChar w:fldCharType="separate"/>
      </w:r>
      <w:r w:rsidR="00487852" w:rsidRPr="00487852">
        <w:rPr>
          <w:noProof/>
          <w:vertAlign w:val="superscript"/>
        </w:rPr>
        <w:t>19-21</w:t>
      </w:r>
      <w:r w:rsidR="00487852">
        <w:fldChar w:fldCharType="end"/>
      </w:r>
      <w:r>
        <w:t xml:space="preserve">. </w:t>
      </w:r>
      <w:proofErr w:type="spellStart"/>
      <w:r>
        <w:t>DoRothEA</w:t>
      </w:r>
      <w:proofErr w:type="spellEnd"/>
      <w:r>
        <w:t xml:space="preserve"> and Hallmark hypoxia mean-z scores, including shared-gene-removed versions, were recomputed in bulk expression space. Spearman correlations were calculated for LUAD, LUSC and the combined cohort. Adjusted models used complete cases, retained unknown stage in the primary combined model, adjusted for cohort, stage and smoking pack-years, tested cohort interaction and included ABSOLUTE purity for LUAD only because LUSC purity was unavailable.</w:t>
      </w:r>
    </w:p>
    <w:p>
      <w:pPr>
        <w:pStyle w:val="berschrift2"/>
      </w:pPr>
      <w:r>
        <w:t>Spatial transcriptomic projection and spatial null sensitivity</w:t>
      </w:r>
    </w:p>
    <w:p>
      <w:pPr/>
      <w:r>
        <w:t>Independent lung spatial transcriptomic sections from GSE292299 were analysed as an orthogonal tissue-level extension. Filtered 10x Visium matrices and array coordinates were imported with Scanpy; in-tissue spots were retained, library-size normalisation was applied to a target sum of 10,000 counts per spot, and values were log1p-transformed. The shared-gene-removed DoRothEA BACH1 and Hallmark hypoxia scores, together with Stress_AP1, Epithelial_core, AT2_like and Ciliated programme scores, were projected using the frozen gene-level score definitions. Spot-level Spearman correlations were treated as descriptive because spots within a section are not independent inferential units.</w:t>
      </w:r>
    </w:p>
    <w:p>
      <w:pPr/>
      <w:r>
        <w:t>For DoRothEA-hypoxia analyses, the four projected epithelial programmes were standardised within section and reduced to three pooled state PCs, explaining 84.1% of their variance. For Stress_AP1-hypoxia analyses, leave-one-programme-out PCs were constructed from Epithelial_core, AT2_like and Ciliated, with the first two PCs explaining 73.7% of the variance. Scores were residualised against log total counts, detected-gene counts and the corresponding state PCs. Spatial concordance was quantified with bivariate Moran's I using a six-neighbour array-coordinate graph. Null expectations were generated by permuting score labels within 10, 15, 20 or 30 array-coordinate blocks, with 1,000 permutations per block size and empirical P values calculated as (b+1)/(B+1). This was treated as a locally constrained exploratory null rather than a variogram-preserving spatial surrogate. As a gene-overlap sensitivity, all 272 genes in the union of the de-overlapped DoRothEA and Hallmark hypoxia sets were removed from each state programme before rescoring and rebuilding the PC basis.</w:t>
      </w:r>
    </w:p>
    <w:p w14:paraId="23494D6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Statistical analysis and reproducibility</w:t>
      </w:r>
    </w:p>
    <w:p w14:paraId="4E2B93EE" w14:textId="77777777" w:rsidR="00075D9A" w:rsidRDefault="00640D1B" w:rsidP="00905F3D">
      <w:pPr>
        <w:spacing w:line="480" w:lineRule="auto"/>
      </w:pPr>
      <w:r>
        <w:t>All statistical tests were two-sided unless an empirical-tail test was explicitly stated. Benjamini-Hochberg correction was applied within each high-dimensional family of differential-expression, correlation or pan-TF benchmark tests. Holm correction was used for focused families of external BACH1 scores, DoRothEA-hypoxia robustness analyses, and TCGA score replication. An adjusted P value below 0.05 was considered significant for these analyses. Continuous data are presented as distributions, medians, per-sample values or effect estimates as indicated. No additional observations were excluded on the basis of resulting effect estimates or statistical significance.</w:t>
      </w:r>
    </w:p>
    <w:p w14:paraId="78D6E2AE" w14:textId="77777777" w:rsidR="00075D9A" w:rsidRDefault="00640D1B" w:rsidP="00905F3D">
      <w:pPr>
        <w:spacing w:line="480" w:lineRule="auto"/>
        <w:rPr>
          <w:rFonts w:eastAsia="SimSun"/>
          <w:lang w:eastAsia="zh-CN"/>
        </w:rPr>
      </w:pPr>
      <w:r>
        <w:t>Core scRNA-seq and CNV workflows used Python 3.11.5; final robustness, TCGA and spatial scripts used Python 3.12.5. Package versions, random seeds and external-resource access dates, including supplementary pySCENIC and scATAC analyses, are provided in Supplementary Table 4D. Figures were generated with matplotlib/seaborn and checked against their source tables.</w:t>
      </w:r>
    </w:p>
    <w:p w14:paraId="66C32984" w14:textId="77777777" w:rsidR="00075D9A" w:rsidRPr="006F654D" w:rsidRDefault="00640D1B" w:rsidP="00905F3D">
      <w:pPr>
        <w:pStyle w:val="berschrift1"/>
        <w:spacing w:line="480" w:lineRule="auto"/>
        <w:jc w:val="left"/>
        <w:rPr>
          <w:sz w:val="22"/>
          <w:szCs w:val="22"/>
          <w:lang w:val="de-DE"/>
        </w:rPr>
      </w:pPr>
      <w:r>
        <w:rPr>
          <w:rFonts w:ascii="Times New Roman" w:eastAsia="Times New Roman" w:hAnsi="Times New Roman"/>
          <w:sz w:val="22"/>
          <w:szCs w:val="22"/>
        </w:rPr>
        <w:t>Results</w:t>
      </w:r>
    </w:p>
    <w:p w14:paraId="681C93F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An integrated single-cell atlas defines the malignant epithelial context of </w:t>
      </w:r>
      <w:r>
        <w:rPr>
          <w:rFonts w:ascii="Times New Roman" w:eastAsia="Times New Roman" w:hAnsi="Times New Roman"/>
          <w:i/>
          <w:iCs/>
          <w:sz w:val="22"/>
          <w:szCs w:val="22"/>
        </w:rPr>
        <w:t>BACH1</w:t>
      </w:r>
      <w:r>
        <w:rPr>
          <w:rFonts w:ascii="Times New Roman" w:eastAsia="Times New Roman" w:hAnsi="Times New Roman"/>
          <w:sz w:val="22"/>
          <w:szCs w:val="22"/>
        </w:rPr>
        <w:t xml:space="preserve"> heterogeneity</w:t>
      </w:r>
    </w:p>
    <w:p w14:paraId="2B65D4A8" w14:textId="77777777" w:rsidR="00075D9A" w:rsidRDefault="00640D1B" w:rsidP="00905F3D">
      <w:pPr>
        <w:spacing w:line="480" w:lineRule="auto"/>
      </w:pPr>
      <w:r>
        <w:t xml:space="preserve">Our workflow integrated two </w:t>
      </w:r>
      <w:proofErr w:type="spellStart"/>
      <w:r>
        <w:t>scRNA</w:t>
      </w:r>
      <w:proofErr w:type="spellEnd"/>
      <w:r>
        <w:t xml:space="preserve">-seq datasets to identify the major cellular compartments and further classify epithelial cells into distinct subpopulations. Author malignant epithelial annotations and expression-derived CNV support together defined the primary </w:t>
      </w:r>
      <w:proofErr w:type="spellStart"/>
      <w:r>
        <w:t>tumour</w:t>
      </w:r>
      <w:proofErr w:type="spellEnd"/>
      <w:r>
        <w:t xml:space="preserve"> epithelial set for </w:t>
      </w:r>
      <w:r>
        <w:rPr>
          <w:i/>
        </w:rPr>
        <w:t>BACH1</w:t>
      </w:r>
      <w:r>
        <w:t xml:space="preserve"> expression analyses, and the stricter CNV consensus set was reserved for sensitivity analyses.</w:t>
      </w:r>
    </w:p>
    <w:p w14:paraId="09D29941" w14:textId="77777777" w:rsidR="00075D9A" w:rsidRDefault="00640D1B" w:rsidP="00905F3D">
      <w:pPr>
        <w:spacing w:line="480" w:lineRule="auto"/>
        <w:rPr>
          <w:rFonts w:eastAsia="SimSun"/>
          <w:b/>
          <w:bCs/>
          <w:lang w:eastAsia="zh-CN"/>
        </w:rPr>
      </w:pPr>
      <w:r>
        <w:t>Canonical marker expression supported broad epithelial, immune, stromal, endothelial and mast-cell annotations (Fig. 1c), with full marker tables retained as source data.</w:t>
      </w:r>
    </w:p>
    <w:p w14:paraId="6F4E185E" w14:textId="77777777" w:rsidR="00075D9A" w:rsidRDefault="00640D1B" w:rsidP="00905F3D">
      <w:pPr>
        <w:spacing w:line="480" w:lineRule="auto"/>
      </w:pPr>
      <w:proofErr w:type="spellStart"/>
      <w:r>
        <w:t>Reclustering epithelial cells separated lineage-like, secretory, inflammatory or stress-associated and proliferative states. The primary malignant epithelial set contained 13,694 tumour epithelial cells from 16 patients. The largest patient contribution was AL08 (31.8%); in the stricter CNV-consensus sensitivity set, AL08 accounted for 88.6% of cells. The 13,694-cell primary malignant epithelial set therefore served as the principal population-level definition (Fig. 1d), and the restricted CNV-consensus set served sensitivity analyses.</w:t>
      </w:r>
      <w:proofErr w:type="spellEnd"/>
      <w:r/>
      <w:proofErr w:type="spellStart"/>
      <w:r/>
      <w:proofErr w:type="spellEnd"/>
      <w:r/>
    </w:p>
    <w:p w14:paraId="2209D279" w14:textId="77777777" w:rsidR="00075D9A" w:rsidRDefault="00640D1B" w:rsidP="00905F3D">
      <w:pPr>
        <w:spacing w:line="480" w:lineRule="auto"/>
      </w:pPr>
      <w:r>
        <w:rPr>
          <w:i/>
        </w:rPr>
        <w:t>BACH1</w:t>
      </w:r>
      <w:r>
        <w:rPr>
          <w:i w:val="0"/>
        </w:rPr>
        <w:t xml:space="preserve"> expression was heterogeneous within the primary malignant epithelial population (Fig. 1e). Detectable transcripts occurred in 2,643 of 13,694 cells (19.3%), whereas 11,051 cells had no detected transcript. We refer to </w:t>
      </w:r>
      <w:r>
        <w:rPr>
          <w:i/>
        </w:rPr>
        <w:t>BACH1</w:t>
      </w:r>
      <w:r>
        <w:rPr>
          <w:i w:val="0"/>
        </w:rPr>
        <w:t xml:space="preserve">-detected and </w:t>
      </w:r>
      <w:r>
        <w:rPr>
          <w:i/>
        </w:rPr>
        <w:t>BACH1</w:t>
      </w:r>
      <w:r>
        <w:rPr>
          <w:i w:val="0"/>
        </w:rPr>
        <w:t>-undetected groups, respectively; this threshold captures transcript detection rather than a discrete biological lineage.</w:t>
      </w:r>
    </w:p>
    <w:p w14:paraId="6DDC3D67" w14:textId="77777777" w:rsidR="00075D9A" w:rsidRDefault="00640D1B" w:rsidP="00905F3D">
      <w:pPr>
        <w:pStyle w:val="berschrift2"/>
        <w:spacing w:line="480" w:lineRule="auto"/>
        <w:jc w:val="left"/>
        <w:rPr>
          <w:rFonts w:ascii="Times New Roman" w:eastAsia="Times New Roman" w:hAnsi="Times New Roman"/>
          <w:sz w:val="22"/>
          <w:szCs w:val="22"/>
        </w:rPr>
      </w:pPr>
      <w:r>
        <w:rPr>
          <w:rFonts w:ascii="Times New Roman" w:eastAsia="Times New Roman" w:hAnsi="Times New Roman"/>
          <w:sz w:val="22"/>
          <w:szCs w:val="22"/>
        </w:rPr>
        <w:t xml:space="preserve">A </w:t>
      </w:r>
      <w:proofErr w:type="spellStart"/>
      <w:r>
        <w:rPr>
          <w:rFonts w:ascii="Times New Roman" w:eastAsia="Times New Roman" w:hAnsi="Times New Roman"/>
          <w:sz w:val="22"/>
          <w:szCs w:val="22"/>
        </w:rPr>
        <w:t>DoRothEA</w:t>
      </w:r>
      <w:proofErr w:type="spellEnd"/>
      <w:r>
        <w:rPr>
          <w:rFonts w:ascii="Times New Roman" w:eastAsia="Times New Roman" w:hAnsi="Times New Roman"/>
          <w:sz w:val="22"/>
          <w:szCs w:val="22"/>
        </w:rPr>
        <w:t>-derived BACH1 score is context-coupled with hypoxia-related transcription</w:t>
      </w:r>
    </w:p>
    <w:p w14:paraId="352C8344" w14:textId="77777777" w:rsidR="00075D9A" w:rsidRDefault="00640D1B" w:rsidP="00905F3D">
      <w:pPr>
        <w:spacing w:line="480" w:lineRule="auto"/>
        <w:rPr>
          <w:rFonts w:eastAsia="SimSun"/>
          <w:b/>
          <w:bCs/>
          <w:lang w:eastAsia="zh-CN"/>
        </w:rPr>
      </w:pPr>
      <w:r>
        <w:t>Among the external BACH1 resources evaluated, the DoRothEA mean-z score showed the most consistent within-patient relationship with BACH1 transcript detection and was therefore used for the primary contextual analyses (median within-patient delta=0.0874, Holm-adjusted P=3.1×10⁻⁴; Fig. 2a,b). Alternative resources and scoring implementations provided weaker or inconsistent sensitivity estimates and are summarized in Supplementary Table 2.</w:t>
      </w:r>
    </w:p>
    <w:p w14:paraId="37C8A19E" w14:textId="77777777" w:rsidR="00075D9A" w:rsidRDefault="00640D1B" w:rsidP="00905F3D">
      <w:pPr>
        <w:spacing w:line="480" w:lineRule="auto"/>
        <w:rPr>
          <w:lang w:eastAsia="zh-CN"/>
        </w:rPr>
      </w:pPr>
      <w:r>
        <w:t>Across patients, the DoRothEA BACH1 mean-z score correlated most strongly with Hallmark hypoxia (ρ=0.909, P=1.1×10⁻⁶). The two signatures shared only ALDOA, HMOX1 and IL6 (Jaccard=0.0109); after removing them from both scores, the association remained positive (ρ=0.868, Holm-adjusted P=2.7×10⁻⁵) and stable in leave-one-patient-out runs (ρ range 0.846-0.896; Fig. 2c,d).</w:t>
      </w:r>
    </w:p>
    <w:p w14:paraId="26ECF8B3" w14:textId="77777777" w:rsidR="00075D9A" w:rsidRDefault="00640D1B" w:rsidP="00905F3D">
      <w:pPr>
        <w:spacing w:line="480" w:lineRule="auto"/>
      </w:pPr>
      <w:r>
        <w:t>Matched-null testing assessed whether the observed DoRothEA-hypoxia correlation exceeded expectations for gene sets with similar expression and detection properties. For the shared-gene-removed comparison, the observed correlation was ρ=0.868, compared with a null mean of ρ=0.504 across 1,000 independently generated 81-gene null sets (empirical one-sided P=0.002; Fig. 2e). The positive null mean indicated substantial background patient-level transcriptional structure among expression- and detection-matched gene sets. We therefore asked whether this covariance reflected broader malignant epithelial-state structure.</w:t>
      </w:r>
    </w:p>
    <w:p w14:paraId="227CB9A4" w14:textId="77777777" w:rsidR="00075D9A" w:rsidRDefault="00640D1B" w:rsidP="00905F3D">
      <w:pPr>
        <w:pStyle w:val="berschrift2"/>
        <w:spacing w:line="480" w:lineRule="auto"/>
        <w:jc w:val="left"/>
        <w:rPr>
          <w:rFonts w:ascii="Times New Roman" w:eastAsia="Times New Roman" w:hAnsi="Times New Roman"/>
          <w:sz w:val="22"/>
          <w:szCs w:val="22"/>
        </w:rPr>
      </w:pPr>
      <w:r>
        <w:t>Patient-level and epithelial-state structure attenuate the BACH1-hypoxia covariance</w:t>
      </w:r>
    </w:p>
    <w:p w14:paraId="25EAA08C" w14:textId="77777777" w:rsidR="00075D9A" w:rsidRDefault="00640D1B" w:rsidP="00905F3D">
      <w:r>
        <w:t>Six simplified malignant epithelial-state classes were retained for interpretation (Fig. 3a). The stress-associated state showed the highest hypoxia score together with elevated DoRothEA BACH1, glycolysis, EMT and proliferation scores (Fig. 3b). A ciliated-like population showed higher BACH1 detection and NRF2-related transcription but was strongly dominated by a single patient and was therefore considered descriptive.</w:t>
      </w:r>
    </w:p>
    <w:p w14:paraId="54EBBA9E" w14:textId="77777777" w:rsidR="00075D9A" w:rsidRDefault="00640D1B" w:rsidP="00905F3D">
      <w:r>
        <w:t>Patient-level attenuation analysis showed that the strong DoRothEA-hypoxia association was progressively reduced after accounting for broader context. The original correlation was ρ=0.909 and the shared-gene-removed correlation was ρ=0.868. Residualization for dataset and QC features reduced the association to ρ=0.506 (P=0.046), and additional adjustment for epithelial-state composition PCs reduced it to ρ=0.135 (P=0.617); among patients with at least 20 malignant epithelial cells, the fully residualized correlation was ρ=0.011 (P=0.97; Fig. 3c). Exact permutation analysis retained evidence only in the stress-associated state after correction (ρ=0.881, Holm-adjusted P=0.0217; Fig. 3d); the Epithelial_core estimate was positive but imprecise, and AT2_like showed no association. Additional compositional sensitivities are reported in Supplementary Table 4.</w:t>
      </w:r>
    </w:p>
    <w:p w14:paraId="6166ECD4" w14:textId="77777777" w:rsidR="00075D9A" w:rsidRDefault="00640D1B" w:rsidP="00905F3D">
      <w:pPr>
        <w:pStyle w:val="berschrift2"/>
      </w:pPr>
      <w:r>
        <w:t>Pan-TF benchmarking and TCGA score replication define boundary conditions</w:t>
      </w:r>
    </w:p>
    <w:p w14:paraId="44985D8D" w14:textId="77777777" w:rsidR="00075D9A" w:rsidRDefault="00640D1B" w:rsidP="00905F3D">
      <w:r>
        <w:t>To place the DoRothEA BACH1-hypoxia association within the broader TF-score landscape, we recomputed patient-level scores for all DoRothEA A-C TFs and removed TF-specific Hallmark hypoxia-overlapping targets before ranking. BACH1 retained 81 expressed targets after de-overlap and ranked fourth among 267 evaluable TFs (ρ=0.868, FDR=8.9×10⁻⁴; 98.9th percentile; Fig. 4a), below SRF, NFE2 and ETS1. EPAS1 (rank 7, ρ=0.832), HIF1A (rank 8, ρ=0.821) and FOS (rank 9, ρ=0.818) also remained among the leading hypoxia-associated regulon scores after their own overlapping targets were removed, whereas JUN, ATF4, NFE2L2 and MYC ranked lower. This pan-TF contextual benchmark places BACH1 among the most strongly hypoxia-associated DoRothEA regulon scores within a broader stress- and hypoxia-associated TF-score landscape.</w:t>
      </w:r>
    </w:p>
    <w:p w14:paraId="2449D094" w14:textId="77777777" w:rsidR="00075D9A" w:rsidRDefault="00640D1B" w:rsidP="00905F3D">
      <w:r>
        <w:t>Cohort-stratified estimates remained directionally positive in both scRNA-seq datasets, although the five-patient GSE274934 estimate was imprecise (Supplementary Fig. 4 and Supplementary Table 5).</w:t>
      </w:r>
    </w:p>
    <w:p>
      <w:r>
        <w:t>TCGA-LUAD/LUSC provided independent bulk-cohort replication of a weaker tumour-level score association (Fig. 4b,c). Among 1,017 primary tumours, shared-gene-removed DoRothEA and hypoxia scores were positively correlated in the combined cohort (ρ=0.307, Holm-adjusted P=2.8×10⁻²³), LUAD (ρ=0.396) and LUSC (ρ=0.224). In the primary adjusted complete-case model (n=774), the standardized DoRothEA coefficient was 0.314 (95% CI 0.245-0.383, P=4.3×10⁻¹⁹), and the cohort interaction was not significant (P=0.105). LUAD purity-adjusted and LUSC stage/smoking-adjusted models remained positive. This bulk analysis supports tumour-level reproducibility of the score association.</w:t>
      </w:r>
    </w:p>
    <w:p>
      <w:pPr>
        <w:pStyle w:val="berschrift2"/>
      </w:pPr>
      <w:r>
        <w:t>Independent spatial transcriptomics reproduces state-embedded BACH1-hypoxia covariance</w:t>
      </w:r>
    </w:p>
    <w:p>
      <w:pPr/>
      <w:r>
        <w:t>Independent spatial transcriptomic data provided orthogonal support for the state-dependent BACH1-hypoxia relationship. Across four NSCLC tissue sections, the de-overlapped DoRothEA BACH1 score correlated positively with de-overlapped Hallmark hypoxia (Spearman ρ=0.626-0.840), and spatial concordance was positive by bivariate Moran's I. The projected stress-associated programme was likewise positively associated with hypoxia across all four spatial sections, providing a spatial counterpart to the stress-associated epithelial context identified by scRNA-seq. After adjustment for sequencing-depth features and projected epithelial-state PCs, residual correlations were 0.135, 0.057 and 0.139 in the three LUAD sections and 0.401 in the single LUSC section (Fig. 5). Removing the complete 272-gene DoRothEA/hypoxia union from the state programmes before rebuilding PCs produced nearly identical residuals (0.139, 0.060, 0.141 and 0.408, respectively; Supplementary Table 6). Residual spatial concordance remained above locally constrained null expectations across block sizes of 10-30 array coordinates (Supplementary Fig. 5). These findings reproduce strong spatial covariance while showing that much of the relationship is embedded within epithelial-state architecture; the single LUSC section was interpreted descriptively.</w:t>
      </w:r>
    </w:p>
    <w:p w14:paraId="515E612D"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Discussion</w:t>
      </w:r>
    </w:p>
    <w:p>
      <w:pPr/>
      <w:r>
        <w:t>This study identifies strong patient-level covariance between a DoRothEA-derived BACH1 score and hypoxia-associated transcription, then shows that much of this relationship is embedded within malignant epithelial-state architecture. Dataset- and QC-adjusted correlations weakened further after epithelial-state composition adjustment, with the strict patient subset approaching zero. Independent spatial sections reproduced the same pattern: strong raw covariance across tissue sections followed by marked attenuation after projected-state adjustment. Together, the single-cell and spatial analyses support a state-embedded relationship rather than a uniform BACH1-hypoxia regulatory axis.</w:t>
      </w:r>
    </w:p>
    <w:p>
      <w:pPr/>
      <w:r>
        <w:rPr/>
        <w:t>This interpretation is biologically compatible with experimental work linking BACH1 to heme and redox sensing, NRF2-dependent stabilization, glycolytic adaptation, metastasis and angiogenic transcription in lung cancer</w:t>
      </w:r>
      <w:r>
        <w:rPr>
          <w:vertAlign w:val="superscript"/>
        </w:rPr>
        <w:t>9,10,22</w:t>
      </w:r>
      <w:r>
        <w:rPr/>
        <w:t>. The stress-associated epithelial state combined elevated hypoxia, glycolysis, EMT and BACH1-score signals, providing a plausible cellular context in which these programmes coexist. The present observational analyses do not establish that BACH1 initiates or maintains this state; they identify the malignant epithelial context in which BACH1-associated transcription is most consistently observed.</w:t>
      </w:r>
    </w:p>
    <w:p>
      <w:pPr/>
      <w:r>
        <w:rPr/>
        <w:t>Pan-TF benchmarking showed that BACH1 was among, but not unique among, highly hypoxia-associated regulon scores, while alternative BACH1 resources were less concordant</w:t>
      </w:r>
      <w:r>
        <w:rPr>
          <w:vertAlign w:val="superscript"/>
        </w:rPr>
        <w:t>11</w:t>
      </w:r>
      <w:r>
        <w:rPr/>
        <w:t>. These findings reinforce that the measured quantity should be interpreted specifically as a DoRothEA-derived transcriptional score rather than as resource-independent BACH1 activity or protein function.</w:t>
      </w:r>
    </w:p>
    <w:p>
      <w:pPr/>
      <w:r>
        <w:t>Several limitations constrain interpretation. The single-cell analysis included 16 patients from public cohorts with different designs, the restricted CNV-consensus set and some epithelial populations were patient-skewed, and TCGA supplied bulk rather than independent single-cell replication. The spatial extension comprised four sections, including only one LUSC specimen, and used a locally constrained block null rather than a variogram-preserving generative model. TF scores do not measure protein activity directly, and the study did not test BACH1 occupancy or causal regulation. Supplementary pySCENIC and scATAC analyses therefore serve only as candidate context.</w:t>
      </w:r>
    </w:p>
    <w:p>
      <w:pPr/>
      <w:r>
        <w:t>More broadly, these findings illustrate a general interpretive issue in tumour transcriptomics: strong patient-level covariance between transcription-factor and pathway scores can arise partly from differences in malignant-cell state composition rather than uniform regulatory coupling within individual tumour cells. The important result is not that BACH1 defines a new hypoxic state, but that BACH1-associated transcription is embedded within pre-existing malignant epithelial-state architecture. State-resolved perturbation, direct occupancy assays and longitudinal treatment cohorts will be required to determine whether BACH1 actively contributes to acquisition or maintenance of these states.</w:t>
      </w:r>
    </w:p>
    <w:p w14:paraId="6B6986DF" w14:textId="77777777" w:rsidR="00075D9A" w:rsidRDefault="00640D1B" w:rsidP="00905F3D">
      <w:pPr>
        <w:spacing w:line="480" w:lineRule="auto"/>
        <w:rPr>
          <w:b/>
          <w:bCs/>
        </w:rPr>
      </w:pPr>
      <w:r>
        <w:rPr>
          <w:b/>
          <w:bCs/>
        </w:rPr>
        <w:t>Author Contributions</w:t>
      </w:r>
    </w:p>
    <w:p w14:paraId="4A6804C2" w14:textId="77777777" w:rsidR="00075D9A" w:rsidRDefault="00640D1B" w:rsidP="00905F3D">
      <w:pPr>
        <w:spacing w:line="480" w:lineRule="auto"/>
      </w:pPr>
      <w:r>
        <w:rPr>
          <w:b/>
          <w:bCs/>
        </w:rPr>
        <w:t>Jing Liu:</w:t>
      </w:r>
      <w:r>
        <w:t xml:space="preserve"> conceptualization, methodology, investigation, funding acquisition, validation, formal analysis, visualization, writing – original draft. </w:t>
      </w:r>
      <w:r>
        <w:rPr>
          <w:b/>
          <w:szCs w:val="36"/>
        </w:rPr>
        <w:t>Haijun Tang</w:t>
      </w:r>
      <w:r>
        <w:rPr>
          <w:b/>
        </w:rPr>
        <w:t>:</w:t>
      </w:r>
      <w:r>
        <w:t xml:space="preserve"> writing – original draft, methodology, investigation, formal analysis, resources. </w:t>
      </w:r>
      <w:r>
        <w:rPr>
          <w:b/>
          <w:bCs/>
        </w:rPr>
        <w:t>Heiko Golpon:</w:t>
      </w:r>
      <w:r>
        <w:t xml:space="preserve"> review and editing. </w:t>
      </w:r>
      <w:r>
        <w:rPr>
          <w:b/>
          <w:szCs w:val="36"/>
        </w:rPr>
        <w:t>Radosław</w:t>
      </w:r>
      <w:r>
        <w:rPr>
          <w:b/>
          <w:szCs w:val="36"/>
          <w:vertAlign w:val="superscript"/>
        </w:rPr>
        <w:t xml:space="preserve"> </w:t>
      </w:r>
      <w:r>
        <w:rPr>
          <w:b/>
          <w:szCs w:val="36"/>
        </w:rPr>
        <w:t>Dzik</w:t>
      </w:r>
      <w:r>
        <w:rPr>
          <w:b/>
        </w:rPr>
        <w:t>:</w:t>
      </w:r>
      <w:r>
        <w:t xml:space="preserve"> writing – review and editing, formal analysis, investigation. </w:t>
      </w:r>
      <w:r>
        <w:rPr>
          <w:b/>
          <w:szCs w:val="36"/>
        </w:rPr>
        <w:t>Sabina Janciauskiene</w:t>
      </w:r>
      <w:r>
        <w:rPr>
          <w:b/>
        </w:rPr>
        <w:t>:</w:t>
      </w:r>
      <w:r>
        <w:t xml:space="preserve"> resources, conceptualization, investigation, supervision, writing – review and editing, funding acquisition, project administration.</w:t>
      </w:r>
    </w:p>
    <w:p w14:paraId="138B681C" w14:textId="77777777" w:rsidR="00075D9A" w:rsidRDefault="00640D1B" w:rsidP="00905F3D">
      <w:pPr>
        <w:spacing w:line="480" w:lineRule="auto"/>
        <w:rPr>
          <w:b/>
          <w:bCs/>
        </w:rPr>
      </w:pPr>
      <w:r>
        <w:rPr>
          <w:b/>
          <w:bCs/>
        </w:rPr>
        <w:t>Acknowledgements</w:t>
      </w:r>
    </w:p>
    <w:p w14:paraId="6625C7A5" w14:textId="77777777" w:rsidR="00075D9A" w:rsidRDefault="00640D1B" w:rsidP="00905F3D">
      <w:pPr>
        <w:spacing w:line="480" w:lineRule="auto"/>
        <w:rPr>
          <w:rFonts w:eastAsia="SimSun"/>
          <w:lang w:eastAsia="zh-CN"/>
        </w:rPr>
      </w:pPr>
      <w:r>
        <w:t>Not applicable.</w:t>
      </w:r>
    </w:p>
    <w:p w14:paraId="5268FE1A" w14:textId="77777777" w:rsidR="00075D9A" w:rsidRDefault="00640D1B" w:rsidP="00905F3D">
      <w:pPr>
        <w:spacing w:line="480" w:lineRule="auto"/>
        <w:rPr>
          <w:b/>
          <w:bCs/>
        </w:rPr>
      </w:pPr>
      <w:r>
        <w:rPr>
          <w:b/>
          <w:bCs/>
        </w:rPr>
        <w:t>Funding</w:t>
      </w:r>
    </w:p>
    <w:p w14:paraId="20E8FA46" w14:textId="77777777" w:rsidR="00075D9A" w:rsidRDefault="00640D1B" w:rsidP="00905F3D">
      <w:pPr>
        <w:spacing w:line="480" w:lineRule="auto"/>
        <w:rPr>
          <w:rFonts w:eastAsia="SimSun"/>
          <w:lang w:eastAsia="zh-CN"/>
        </w:rPr>
      </w:pPr>
      <w:r>
        <w:t>The study was supported by German Center for Lung Research (DZL), grant numbers 82DZL002B1 (Janciauskiene) and China Scholarship Council (CSC), file number: 202408080102 (LIU JING).</w:t>
      </w:r>
    </w:p>
    <w:p w14:paraId="24D60634" w14:textId="77777777" w:rsidR="00075D9A" w:rsidRDefault="00640D1B" w:rsidP="00905F3D">
      <w:pPr>
        <w:spacing w:line="480" w:lineRule="auto"/>
        <w:rPr>
          <w:b/>
          <w:bCs/>
        </w:rPr>
      </w:pPr>
      <w:r>
        <w:rPr>
          <w:b/>
          <w:bCs/>
        </w:rPr>
        <w:t>Conflict of interest</w:t>
      </w:r>
    </w:p>
    <w:p w14:paraId="41B8CA43" w14:textId="77777777" w:rsidR="00075D9A" w:rsidRDefault="00640D1B" w:rsidP="00905F3D">
      <w:pPr>
        <w:spacing w:line="480" w:lineRule="auto"/>
        <w:rPr>
          <w:rFonts w:eastAsia="SimSun"/>
          <w:lang w:eastAsia="zh-CN"/>
        </w:rPr>
      </w:pPr>
      <w:r>
        <w:lastRenderedPageBreak/>
        <w:t>The authors declare that they have no known competing financial interests or personal relationships that could have appeared to influence the work reported in this paper.</w:t>
      </w:r>
    </w:p>
    <w:p w14:paraId="6934503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Ethics statement</w:t>
      </w:r>
    </w:p>
    <w:p w14:paraId="16F6530E" w14:textId="77777777" w:rsidR="00075D9A" w:rsidRDefault="00640D1B" w:rsidP="00905F3D">
      <w:pPr>
        <w:spacing w:line="480" w:lineRule="auto"/>
        <w:rPr>
          <w:rFonts w:eastAsia="SimSun"/>
          <w:lang w:eastAsia="zh-CN"/>
        </w:rPr>
      </w:pPr>
      <w:r>
        <w:t xml:space="preserve">This study is a secondary analysis of de-identified, publicly available datasets. No new human participants were </w:t>
      </w:r>
      <w:proofErr w:type="gramStart"/>
      <w:r>
        <w:t>recruited</w:t>
      </w:r>
      <w:proofErr w:type="gramEnd"/>
      <w:r>
        <w:t xml:space="preserve"> and no new human tissue was collected. Ethical approval and informed-consent procedures for specimen collection were reported in the original studies </w:t>
      </w:r>
      <w:r>
        <w:rPr>
          <w:vertAlign w:val="superscript"/>
        </w:rPr>
        <w:t>5, 6</w:t>
      </w:r>
      <w:r>
        <w:t>.</w:t>
      </w:r>
    </w:p>
    <w:p w14:paraId="02DD0A5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Data availability</w:t>
      </w:r>
    </w:p>
    <w:p w14:paraId="74E285AB" w14:textId="77777777" w:rsidR="00075D9A" w:rsidRDefault="00640D1B" w:rsidP="00905F3D">
      <w:pPr>
        <w:spacing w:line="480" w:lineRule="auto"/>
        <w:jc w:val="left"/>
        <w:rPr>
          <w:rFonts w:eastAsia="SimSun"/>
          <w:color w:val="FF0000"/>
          <w:lang w:eastAsia="zh-CN"/>
        </w:rPr>
      </w:pPr>
      <w:r>
        <w:t xml:space="preserve">All datasets analysed in this study are publicly available. The single-cell RNA-sequencing data are available from the NCBI Gene Expression Omnibus (GEO) under accession numbers GSE131907 and GSE274934. Processed single-cell ATAC-sequencing matrices and associated quality-control data are available under GSE274934. TCGA-LUAD and TCGA-LUSC expression and clinical tables used for independent bulk-cohort score replication were downloaded from UCSC Xena TCGA sampleMap resources </w:t>
      </w:r>
      <w:r>
        <w:rPr>
          <w:vertAlign w:val="superscript"/>
        </w:rPr>
        <w:t>19-21</w:t>
      </w:r>
      <w:r>
        <w:t>. The analysis code, environment files, figure source data and supplementary tables generated for this study are available in the project repository (https://github.com/jingliu0413-bot/BACH1_NSCLC_reproducibility). No new sequencing data were generated in this study.</w:t>
      </w:r>
    </w:p>
    <w:p>
      <w:pPr/>
      <w:r>
        <w:t>The independent spatial transcriptomic matrices and spatial coordinates are available from the NCBI GEO under accession GSE292299.</w:t>
      </w:r>
    </w:p>
    <w:p>
      <w:r>
        <w:rPr>
          <w:b/>
        </w:rPr>
        <w:t>Figure legends</w:t>
      </w:r>
    </w:p>
    <w:p>
      <w:r>
        <w:t>Figure 1. Single-cell landscape and malignant epithelial context of BACH1. a, Numbered study design; steps 1–4 represent discovery in the integrated scRNA-seq atlas, whereas steps 5–6 represent pan-transcription factor/TCGA and independent spatial validation. Dataset names and principal sample sizes are shown below each workflow step. b, UMAP of the integrated 176,294-cell NSCLC scRNA atlas coloured by broad cell type; labels are placed near cell-type centroids. c, Dot plot of canonical markers used for broad cell-type annotation; dot size indicates fraction expressing and colour indicates scaled mean expression. d, Epithelial UMAP showing cells retained as malignant versus other epithelial cells under the operational author-annotation and CNV-supported classification; 13,694 cells from 16 patients were retained. e, BACH1 transcript heterogeneity across the same 13,694-cell malignant epithelial UMAP; zero-expression cells are shown in light grey, positive expression is shown on a continuous scale, and BACH1 was detected in 19.3% of cells.</w:t>
      </w:r>
    </w:p>
    <w:p>
      <w:r>
        <w:t>Figure 2. Patient-aware identification of the DoRothEA BACH1-hypoxia score association. a, Fraction of BACH1-detected malignant epithelial cells by patient; numbers indicate malignant epithelial cell counts and colours indicate source dataset. b, Within-patient score differences between BACH1-detected and BACH1-undetected malignant epithelial cells. Points represent patients; displayed P values are Holm-adjusted across the five external-score comparisons. c, Patient-level association between the shared-gene-removed DoRothEA BACH1 score and shared-gene-removed Hallmark hypoxia score. Colours indicate source dataset; the fitted line is shown for visual guidance only, and inference is based on Spearman correlation. d, Leave-one-patient-out sensitivity for the original and shared-gene-removed DoRothEA-hypoxia correlations. e, Independent matched-gene null distribution for the de-overlapped DoRothEA BACH1 score versus de-overlapped Hallmark hypoxia score; the red line indicates the observed correlation and the empirical P value was calculated from 1,000 matched random gene sets.</w:t>
      </w:r>
    </w:p>
    <w:p>
      <w:r>
        <w:t>Figure 3. Patient-level and epithelial-state structure attenuate the BACH1-hypoxia covariance. a, UMAP of primary malignant epithelial cells coloured by simplified epithelial-state class. b, State-level programme summary displayed as column-standardized z-scores; row labels show cell and patient counts, and the vertical separator distinguishes BACH1 transcript-detection fraction from score/programme summaries. c, Patient-level attenuation analysis showing Spearman ρ before and after shared-gene removal and residualization for dataset, QC features and epithelial-state composition PCs. Points indicate Spearman ρ and horizontal bars indicate approximate Fisher-z 95% confidence intervals; P values are raw correlation P values. d, Exploratory within-state patient-level correlations. Points indicate Spearman ρ, horizontal bars indicate approximate Fisher-z 95% confidence intervals, and displayed P values are Holm-adjusted across the three evaluable states after exact permutation testing.</w:t>
      </w:r>
    </w:p>
    <w:p>
      <w:r>
        <w:t>Figure 4. BACH1 ranks among hypoxia-associated TF scores and the association replicates in TCGA tumours. a, Patient-level correlations between TF-specific de-overlapped DoRothEA regulon scores and corresponding de-overlapped Hallmark hypoxia scores. The ten highest-ranking TFs and selected biologically relevant comparators are shown; BACH1 ranked fourth among 267 evaluable TFs, with ties assigned using the minimum shared rank. b, TCGA-LUAD/LUSC tumour-level association between de-overlapped DoRothEA BACH1 and Hallmark hypoxia scores; points represent tumours and colours indicate histology. The fitted line is shown for visual guidance; inference is based on Spearman correlation. c, Standardized coefficients and 95% confidence intervals from covariate-adjusted TCGA models. The combined model adjusted for cohort, stage and smoking pack-years; LUAD additionally included tumour purity where available, whereas LUSC used stage and smoking adjustment.</w:t>
      </w:r>
    </w:p>
    <w:p>
      <w:pPr/>
      <w:r>
        <w:t>Figure 5. Independent spatial replication of state-embedded BACH1-hypoxia covariance. a, Four lung sections from the independent GSE292299 NSCLC cohort, shown as P5, P8, P12 and P15 with histology and in-tissue spot counts; P15 is the single LUSC section. b, Representative P12 (LUAD) projections of the de-overlapped DoRothEA BACH1 score, de-overlapped Hallmark hypoxia score and Stress-associated programme score; each map has an independent score colour bar, and P12 is shown for visualization while quantitative results for all sections are shown in c-e. c, Raw section-level Spearman correlations for BACH1 score-hypoxia and Stress programme-hypoxia; points are unconnected because the comparisons are not before-after measurements. d, Observed bivariate Moran's I compared with the 20x20 locally constrained block-null mean; error bars indicate the 2.5th-97.5th percentiles of 1,000 block-restricted permutations. e, DoRothEA-hypoxia correlation before adjustment, after QC adjustment and after adjustment for QC features plus three projected epithelial-state PCs, which explained 84.1% of the four programme-score variance. Spatial summaries are section-level and exploratory; the block null preserves local block structure but not the full variogram. The single LUSC section was interpreted descriptively. Block-size sensitivity is shown in Supplementary Fig. 5.</w:t>
      </w:r>
    </w:p>
    <w:p>
      <w:r>
        <w:t>Supplementary Figure 1. Expression-derived CNV support and malignant epithelial selection. a, Final selection diagram clarifying the 13,694-cell primary malignant epithelial set and the 4,906-cell restricted CNV-consensus sensitivity set. b, Epithelial UMAP coloured by CNV-consensus support, single-method CNV candidacy, author malignant annotation without CNV support and cells not retained as malignant by CNV. c, Proportion of cells with CNV-consensus support within each simplified epithelial state; grey segments indicate other cells retained in the primary malignant epithelial set.</w:t>
      </w:r>
    </w:p>
    <w:p>
      <w:pPr/>
      <w:r>
        <w:t>Supplementary Figure 2. Tumour scATAC-seq proximal motif context for recurrent candidates. a, Schematic of the scATAC target-window analysis, linking tumour scATAC peaks to BACH1-family motif occurrences and TSS +/-10-kb candidate windows. b, Per-sample scATAC cell counts and median peak-fragment summaries. c, Number of coordinate-mapped recurrent candidates with proximal or promoter-window motif-overlapping accessible peaks across UCSC score thresholds. d, Target-window peak-gene links by BACH1-family motif model. e, Recurrent candidates ranked by number of target-window motif-peak links, coloured by distance of the closest peak to the TSS. f, TSS distances for selected candidate motif-overlapping peaks, separated by motif model. The analysis included 46 recurrent candidates, of which 45 had GENCODE coordinates and 44 of 45 showed proximal motif-overlapping accessible support at the UCSC motif-score threshold of ≥300. These analyses map motif-overlapping accessible loci for candidate prioritisation; direct BACH1 binding and regulatory direction require experimental testing.</w:t>
      </w:r>
    </w:p>
    <w:p>
      <w:r>
        <w:t>Supplementary Figure 3. Multi-omic prioritisation of BACH1-associated candidate regulatory features. a, Candidate funnel from five-seed pySCENIC union targets to recurrent targets, followed by recurrence- and chromatin-context-based tiering of the 14 genes recovered in at least four of five seeds. Tier 1 denotes candidates with five-seed recurrence, five-sample ATAC motif context and promoter-window support; Tier 2 denotes four-seed recurrent candidates with five-sample motif context and promoter-window support; context-limited candidates retain recurrence but do not meet Tier 2 ATAC/promoter criteria. b, Descriptive tumour scATAC proximal motif context for the 14 recurrent candidates, displayed as separate tracks for motif-overlapping accessible peak links, ATAC-sample coverage and promoter-window context. Motif-link and promoter-context summaries use the UCSC motif-score threshold of ≥300. c, Candidate-prioritisation matrix displaying cross-seed recurrence, GRNBoost2 importance, partial BACH1 association, stress-associated expression enrichment, proximal motif links, promoter-window links and number of ATAC samples. Columns are independently standardized for display only; column-standardization reflects relative ranking among candidates and does not imply large absolute effect size. Evidence types are not equivalent, and motif-overlapping accessible loci do not demonstrate direct BACH1 occupancy.</w:t>
      </w:r>
    </w:p>
    <w:p>
      <w:pPr/>
      <w:r>
        <w:t>Supplementary Figure 4. scRNA-seq cohort-stratified DoRothEA-hypoxia association. Patient-level correlations for the de-overlapped DoRothEA BACH1 and Hallmark hypoxia scores in all patients and separately in GSE131907 and GSE274934. Points indicate Spearman's ρ and horizontal bars indicate approximate Fisher-z 95% confidence intervals; P values are unadjusted within this descriptive sensitivity analysis.</w:t>
      </w:r>
    </w:p>
    <w:p>
      <w:pPr/>
      <w:r>
        <w:t>Supplementary Figure 5. Spatial block-size sensitivity. Observed minus block-null mean bivariate Moran's I for the state-PC-residualized DoRothEA-hypoxia score pair across block sizes of 10, 15, 20 and 30 array coordinates. Positive values in all sections and settings indicate that residual spatial concordance exceeded the locally constrained null expectation.</w:t>
      </w:r>
    </w:p>
    <w:p>
      <w:r>
        <w:rPr>
          <w:b/>
        </w:rPr>
        <w:t>References</w:t>
      </w:r>
    </w:p>
    <w:p>
      <w:r>
        <w:t>1</w:t>
        <w:tab/>
        <w:t>Bray F, Laversanne M, Sung H, et al. Global cancer statistics 2022: GLOBOCAN estimates of incidence and mortality worldwide for 36 cancers in 185 countries. CA Cancer J Clin. 2024; 74: 229-263.</w:t>
      </w:r>
    </w:p>
    <w:p>
      <w:r>
        <w:t>2</w:t>
        <w:tab/>
        <w:t>Herbst RS, Morgensztern D, Boshoff C. The biology and management of non-small cell lung cancer. Nature. 2018; 553: 446-454.</w:t>
      </w:r>
    </w:p>
    <w:p>
      <w:r>
        <w:t>3</w:t>
        <w:tab/>
        <w:t>Maynard A, McCoach CE, Rotow JK, et al. Therapy-Induced Evolution of Human Lung Cancer Revealed by Single-Cell RNA Sequencing. Cell. 2020; 182: 1232-1251.e1222.</w:t>
      </w:r>
    </w:p>
    <w:p>
      <w:r>
        <w:t>4</w:t>
        <w:tab/>
        <w:t>Sinjab A, Han G, Treekitkarnmongkol W, et al. Resolving the Spatial and Cellular Architecture of Lung Adenocarcinoma by Multiregion Single-Cell Sequencing. Cancer Discov. 2021; 11: 2506-2523.</w:t>
      </w:r>
    </w:p>
    <w:p>
      <w:r>
        <w:t>5</w:t>
        <w:tab/>
        <w:t>Kim N, Kim HK, Lee K, et al. Single-cell RNA sequencing demonstrates the molecular and cellular reprogramming of metastatic lung adenocarcinoma. Nat Commun. 2020; 11: 2285.</w:t>
      </w:r>
    </w:p>
    <w:p>
      <w:r>
        <w:t>6</w:t>
        <w:tab/>
        <w:t>Baek S, Sung E, Kim G, et al. Single-cell multi-omics reveals tumor microenvironment factors underlying poor immunotherapy responses in ALK-positive lung cancer. Cancer Commun (Lond). 2025; 45: 422-427.</w:t>
      </w:r>
    </w:p>
    <w:p>
      <w:r>
        <w:t>7</w:t>
        <w:tab/>
        <w:t>Sun J, Hoshino H, Takaku K, et al. Hemoprotein BACH1 regulates enhancer availability of heme oxygenase-1 gene. Embo j. 2002; 21: 5216-5224.</w:t>
      </w:r>
    </w:p>
    <w:p>
      <w:r>
        <w:t>8</w:t>
        <w:tab/>
        <w:t>Warnatz HJ, Schmidt D, Manke T, et al. The BTB and CNC homology 1 (BACH1) target genes are involved in the oxidative stress response and in control of the cell cycle. J Biol Chem. 2011; 286: 23521-23532.</w:t>
      </w:r>
    </w:p>
    <w:p>
      <w:r>
        <w:t>9</w:t>
        <w:tab/>
        <w:t>Lignitto L, LeBoeuf SE, Homer H, et al. Nrf2 Activation Promotes Lung Cancer Metastasis by Inhibiting the Degradation of BACH1. Cell. 2019; 178: 316-329.e318.</w:t>
      </w:r>
    </w:p>
    <w:p>
      <w:r>
        <w:t>10</w:t>
        <w:tab/>
        <w:t>Wiel C, Le Gal K, Ibrahim MX, et al. BACH1 Stabilization by Antioxidants Stimulates Lung Cancer Metastasis. Cell. 2019; 178: 330-345.e22.</w:t>
      </w:r>
    </w:p>
    <w:p>
      <w:r>
        <w:t>11</w:t>
        <w:tab/>
        <w:t>Klenja-Skudrinja D, Ali KX, Walker D, et al. Identification of a BACH1 lung cancer signature: A novel tool for understanding BACH1 biology and identifying new inhibitors. Redox Biol. 2025; 85: 103789.</w:t>
      </w:r>
    </w:p>
    <w:p>
      <w:r>
        <w:t>12</w:t>
        <w:tab/>
        <w:t>Liu J, Schneider MA, Held J, et al. Clinical relevance of BACH1 expression in non-small cell lung cancer. Int J Cancer. Published online July 26, 2026. doi:10.1002/ijc.70673.</w:t>
      </w:r>
    </w:p>
    <w:p>
      <w:r>
        <w:t>13</w:t>
        <w:tab/>
        <w:t>Wolf FA, Angerer P, Theis FJ. SCANPY: large-scale single-cell gene expression data analysis. Genome Biol. 2018; 19: 15.</w:t>
      </w:r>
    </w:p>
    <w:p>
      <w:r>
        <w:t>14</w:t>
        <w:tab/>
        <w:t>Wolock SL, Lopez R, Klein AM. Scrublet: Computational Identification of Cell Doublets in Single-Cell Transcriptomic Data. Cell Syst. 2019; 8: 281-291.e289.</w:t>
      </w:r>
    </w:p>
    <w:p>
      <w:r>
        <w:t>15</w:t>
        <w:tab/>
        <w:t>Korsunsky I, Millard N, Fan J, et al. Fast, sensitive and accurate integration of single-cell data with Harmony. Nat Methods. 2019; 16: 1289-1296.</w:t>
      </w:r>
    </w:p>
    <w:p>
      <w:r>
        <w:t>16</w:t>
        <w:tab/>
        <w:t>McInnes L, Healy, J., Saul, N. &amp; Grossberger, L. UMAP: Uniform Manifold Approximation and Projection. Journal of Open Source Software. 2018; 3: 861.</w:t>
      </w:r>
    </w:p>
    <w:p>
      <w:r>
        <w:t>17</w:t>
        <w:tab/>
        <w:t>Traag VA, Waltman L, van Eck NJ. From Louvain to Leiden: guaranteeing well-connected communities. Sci Rep. 2019; 9: 5233.</w:t>
      </w:r>
    </w:p>
    <w:p>
      <w:r>
        <w:t>18</w:t>
        <w:tab/>
        <w:t>Benjamini Y, Hochberg Y. Controlling the false discovery rate: a practical and powerful approach to multiple testing. J R Stat Soc Series B Methodol. 1995; 57: 289-300.</w:t>
      </w:r>
    </w:p>
    <w:p>
      <w:r>
        <w:t>19</w:t>
        <w:tab/>
        <w:t>Goldman MJ, Craft B, Hastie M, et al. Visualizing and interpreting cancer genomics data via the Xena platform. Nat Biotechnol. 2020; 38: 675-678. doi:10.1038/s41587-020-0546-8.</w:t>
      </w:r>
    </w:p>
    <w:p>
      <w:r>
        <w:t>20</w:t>
        <w:tab/>
        <w:t>Cancer Genome Atlas Research Network. Comprehensive molecular profiling of lung adenocarcinoma. Nature. 2014; 511: 543-550.</w:t>
      </w:r>
    </w:p>
    <w:p>
      <w:r>
        <w:t>21</w:t>
        <w:tab/>
        <w:t>Cancer Genome Atlas Research Network. Comprehensive genomic characterization of squamous cell lung cancers. Nature. 2012; 489: 519-525.</w:t>
      </w:r>
    </w:p>
    <w:p>
      <w:r>
        <w:t>22</w:t>
        <w:tab/>
        <w:t>Wang T, Dong Y, Huang Z, et al. Antioxidants stimulate BACH1-dependent tumor angiogenesis. J Clin Invest. 2023; 133: e169671. doi:10.1172/JCI169671.</w:t>
      </w:r>
    </w:p>
    <w:sectPr w:rsidR="004F13E6">
      <w:footerReference w:type="default" r:id="rId9"/>
      <w:pgSz w:w="12240" w:h="15840"/>
      <w:pgMar w:top="1440" w:right="1440" w:bottom="1440" w:left="1587" w:header="720" w:footer="720" w:gutter="0"/>
      <w:lnNumType w:countBy="1" w:start="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E6629" w14:textId="77777777" w:rsidR="006E2513" w:rsidRDefault="006E2513">
      <w:pPr>
        <w:spacing w:after="0" w:line="240" w:lineRule="auto"/>
      </w:pPr>
      <w:r>
        <w:separator/>
      </w:r>
    </w:p>
  </w:endnote>
  <w:endnote w:type="continuationSeparator" w:id="0">
    <w:p w14:paraId="13BC90CE" w14:textId="77777777" w:rsidR="006E2513" w:rsidRDefault="006E2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default"/>
    <w:sig w:usb0="00000000" w:usb1="00000000"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altName w:val="苹方-简"/>
    <w:panose1 w:val="02040503050406030204"/>
    <w:charset w:val="00"/>
    <w:family w:val="roman"/>
    <w:pitch w:val="variable"/>
    <w:sig w:usb0="E00006FF" w:usb1="420024FF" w:usb2="02000000" w:usb3="00000000" w:csb0="0000019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77C1" w14:textId="77777777" w:rsidR="00075D9A" w:rsidRDefault="00640D1B">
    <w:pPr>
      <w:pStyle w:val="Fuzeile"/>
      <w:suppressLineNumbers/>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11C8E" w14:textId="77777777" w:rsidR="006E2513" w:rsidRDefault="006E2513">
      <w:pPr>
        <w:spacing w:after="0" w:line="240" w:lineRule="auto"/>
      </w:pPr>
      <w:r>
        <w:separator/>
      </w:r>
    </w:p>
  </w:footnote>
  <w:footnote w:type="continuationSeparator" w:id="0">
    <w:p w14:paraId="49BD4083" w14:textId="77777777" w:rsidR="006E2513" w:rsidRDefault="006E25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ennumm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ennumm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Aufzhlungszeichen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ufzhlungszeichen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Symbol" w:hAnsi="Symbol" w:hint="default"/>
      </w:rPr>
    </w:lvl>
  </w:abstractNum>
  <w:abstractNum w:abstractNumId="6" w15:restartNumberingAfterBreak="0">
    <w:nsid w:val="5E3023AF"/>
    <w:multiLevelType w:val="hybridMultilevel"/>
    <w:tmpl w:val="3B0A548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72303FC"/>
    <w:multiLevelType w:val="hybridMultilevel"/>
    <w:tmpl w:val="C13CCF34"/>
    <w:lvl w:ilvl="0" w:tplc="A1F01540">
      <w:start w:val="1"/>
      <w:numFmt w:val="decimal"/>
      <w:lvlText w:val="%1"/>
      <w:lvlJc w:val="left"/>
      <w:pPr>
        <w:ind w:left="1080" w:hanging="720"/>
      </w:pPr>
      <w:rPr>
        <w:rFonts w:cstheme="minorBidi"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AD65FAC"/>
    <w:multiLevelType w:val="hybridMultilevel"/>
    <w:tmpl w:val="1BEC88D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084077">
    <w:abstractNumId w:val="1"/>
  </w:num>
  <w:num w:numId="2" w16cid:durableId="553390570">
    <w:abstractNumId w:val="4"/>
  </w:num>
  <w:num w:numId="3" w16cid:durableId="322700828">
    <w:abstractNumId w:val="5"/>
  </w:num>
  <w:num w:numId="4" w16cid:durableId="107622571">
    <w:abstractNumId w:val="2"/>
  </w:num>
  <w:num w:numId="5" w16cid:durableId="1669362012">
    <w:abstractNumId w:val="0"/>
  </w:num>
  <w:num w:numId="6" w16cid:durableId="1795557254">
    <w:abstractNumId w:val="3"/>
  </w:num>
  <w:num w:numId="7" w16cid:durableId="254748986">
    <w:abstractNumId w:val="6"/>
  </w:num>
  <w:num w:numId="8" w16cid:durableId="985820739">
    <w:abstractNumId w:val="7"/>
  </w:num>
  <w:num w:numId="9" w16cid:durableId="819944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ancer Scienc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tpzwrzaazffxfedxxjxwtp8zsx2tpvsv5d0&quot;&gt;My EndNote Library&lt;record-ids&gt;&lt;item&gt;20&lt;/item&gt;&lt;item&gt;23&lt;/item&gt;&lt;item&gt;35&lt;/item&gt;&lt;item&gt;36&lt;/item&gt;&lt;item&gt;60&lt;/item&gt;&lt;item&gt;77&lt;/item&gt;&lt;item&gt;95&lt;/item&gt;&lt;item&gt;141&lt;/item&gt;&lt;item&gt;181&lt;/item&gt;&lt;item&gt;182&lt;/item&gt;&lt;item&gt;183&lt;/item&gt;&lt;item&gt;184&lt;/item&gt;&lt;item&gt;186&lt;/item&gt;&lt;item&gt;188&lt;/item&gt;&lt;item&gt;193&lt;/item&gt;&lt;item&gt;194&lt;/item&gt;&lt;item&gt;195&lt;/item&gt;&lt;item&gt;196&lt;/item&gt;&lt;item&gt;197&lt;/item&gt;&lt;item&gt;199&lt;/item&gt;&lt;item&gt;200&lt;/item&gt;&lt;item&gt;201&lt;/item&gt;&lt;item&gt;202&lt;/item&gt;&lt;item&gt;203&lt;/item&gt;&lt;item&gt;204&lt;/item&gt;&lt;item&gt;212&lt;/item&gt;&lt;item&gt;213&lt;/item&gt;&lt;item&gt;240&lt;/item&gt;&lt;/record-ids&gt;&lt;/item&gt;&lt;/Libraries&gt;"/>
  </w:docVars>
  <w:rsids>
    <w:rsidRoot w:val="00B47730"/>
    <w:rsid w:val="0000295F"/>
    <w:rsid w:val="000200F9"/>
    <w:rsid w:val="00034616"/>
    <w:rsid w:val="00054ECE"/>
    <w:rsid w:val="0006063C"/>
    <w:rsid w:val="0006168E"/>
    <w:rsid w:val="00062ACC"/>
    <w:rsid w:val="00070DFA"/>
    <w:rsid w:val="00075D9A"/>
    <w:rsid w:val="0009340F"/>
    <w:rsid w:val="000A4149"/>
    <w:rsid w:val="000A7633"/>
    <w:rsid w:val="000B1379"/>
    <w:rsid w:val="000B4E3A"/>
    <w:rsid w:val="000C276D"/>
    <w:rsid w:val="00101AD3"/>
    <w:rsid w:val="0011377A"/>
    <w:rsid w:val="00113CE5"/>
    <w:rsid w:val="001213E9"/>
    <w:rsid w:val="0012610C"/>
    <w:rsid w:val="00126F2F"/>
    <w:rsid w:val="0015074B"/>
    <w:rsid w:val="00152F1F"/>
    <w:rsid w:val="00155A23"/>
    <w:rsid w:val="001635B2"/>
    <w:rsid w:val="0017369D"/>
    <w:rsid w:val="00176A92"/>
    <w:rsid w:val="0018238D"/>
    <w:rsid w:val="001A1B20"/>
    <w:rsid w:val="001C5596"/>
    <w:rsid w:val="001F572A"/>
    <w:rsid w:val="00200FC6"/>
    <w:rsid w:val="00214076"/>
    <w:rsid w:val="00232638"/>
    <w:rsid w:val="002347B2"/>
    <w:rsid w:val="00242599"/>
    <w:rsid w:val="0025064A"/>
    <w:rsid w:val="00260007"/>
    <w:rsid w:val="00260F17"/>
    <w:rsid w:val="00261430"/>
    <w:rsid w:val="002810FB"/>
    <w:rsid w:val="00292CC6"/>
    <w:rsid w:val="00293110"/>
    <w:rsid w:val="0029639D"/>
    <w:rsid w:val="002C67CA"/>
    <w:rsid w:val="002E7558"/>
    <w:rsid w:val="002F2DD0"/>
    <w:rsid w:val="00306DED"/>
    <w:rsid w:val="00322ED3"/>
    <w:rsid w:val="00326F90"/>
    <w:rsid w:val="00356E0F"/>
    <w:rsid w:val="00391169"/>
    <w:rsid w:val="003912BE"/>
    <w:rsid w:val="003944BC"/>
    <w:rsid w:val="003A30EC"/>
    <w:rsid w:val="003C0DBF"/>
    <w:rsid w:val="003D115C"/>
    <w:rsid w:val="003F486E"/>
    <w:rsid w:val="00400AC9"/>
    <w:rsid w:val="00410687"/>
    <w:rsid w:val="00425B0D"/>
    <w:rsid w:val="00441BE8"/>
    <w:rsid w:val="00460E52"/>
    <w:rsid w:val="00462BC5"/>
    <w:rsid w:val="0048478D"/>
    <w:rsid w:val="00486472"/>
    <w:rsid w:val="00487852"/>
    <w:rsid w:val="004C69E9"/>
    <w:rsid w:val="004D7B7A"/>
    <w:rsid w:val="004F13E6"/>
    <w:rsid w:val="00504B0C"/>
    <w:rsid w:val="00512233"/>
    <w:rsid w:val="005142D9"/>
    <w:rsid w:val="0051638E"/>
    <w:rsid w:val="00523A33"/>
    <w:rsid w:val="00532B67"/>
    <w:rsid w:val="005354E0"/>
    <w:rsid w:val="00555B1E"/>
    <w:rsid w:val="00563110"/>
    <w:rsid w:val="0057002E"/>
    <w:rsid w:val="00570F3E"/>
    <w:rsid w:val="005821B5"/>
    <w:rsid w:val="00586114"/>
    <w:rsid w:val="00591E26"/>
    <w:rsid w:val="005930E9"/>
    <w:rsid w:val="00594EE9"/>
    <w:rsid w:val="005A2721"/>
    <w:rsid w:val="005C2868"/>
    <w:rsid w:val="005D335C"/>
    <w:rsid w:val="005D4EAB"/>
    <w:rsid w:val="006006FA"/>
    <w:rsid w:val="00611070"/>
    <w:rsid w:val="00620F09"/>
    <w:rsid w:val="00622706"/>
    <w:rsid w:val="00626D48"/>
    <w:rsid w:val="00640D1B"/>
    <w:rsid w:val="00642CA2"/>
    <w:rsid w:val="006437E6"/>
    <w:rsid w:val="00657F83"/>
    <w:rsid w:val="006637AE"/>
    <w:rsid w:val="00666948"/>
    <w:rsid w:val="006858D4"/>
    <w:rsid w:val="006C1E16"/>
    <w:rsid w:val="006D2EFA"/>
    <w:rsid w:val="006E2513"/>
    <w:rsid w:val="006F539E"/>
    <w:rsid w:val="006F5E11"/>
    <w:rsid w:val="006F654D"/>
    <w:rsid w:val="00702708"/>
    <w:rsid w:val="007223B7"/>
    <w:rsid w:val="00723E3C"/>
    <w:rsid w:val="00770BC0"/>
    <w:rsid w:val="00786B2A"/>
    <w:rsid w:val="007B0B1A"/>
    <w:rsid w:val="007B7AF9"/>
    <w:rsid w:val="007D1336"/>
    <w:rsid w:val="007E184B"/>
    <w:rsid w:val="007F257E"/>
    <w:rsid w:val="007F558A"/>
    <w:rsid w:val="007F5BFA"/>
    <w:rsid w:val="00804483"/>
    <w:rsid w:val="00810804"/>
    <w:rsid w:val="00817751"/>
    <w:rsid w:val="008458D2"/>
    <w:rsid w:val="0088132C"/>
    <w:rsid w:val="008911A2"/>
    <w:rsid w:val="008A2335"/>
    <w:rsid w:val="008B7E59"/>
    <w:rsid w:val="008C33E8"/>
    <w:rsid w:val="008D0495"/>
    <w:rsid w:val="008F0941"/>
    <w:rsid w:val="008F1915"/>
    <w:rsid w:val="008F2354"/>
    <w:rsid w:val="00900F6C"/>
    <w:rsid w:val="00905F3D"/>
    <w:rsid w:val="00921919"/>
    <w:rsid w:val="00931DAB"/>
    <w:rsid w:val="009400A0"/>
    <w:rsid w:val="00954831"/>
    <w:rsid w:val="00963824"/>
    <w:rsid w:val="0096627F"/>
    <w:rsid w:val="00973C16"/>
    <w:rsid w:val="00982890"/>
    <w:rsid w:val="0098652A"/>
    <w:rsid w:val="00995049"/>
    <w:rsid w:val="009A1AF3"/>
    <w:rsid w:val="009B03B5"/>
    <w:rsid w:val="009D45EF"/>
    <w:rsid w:val="009E41CB"/>
    <w:rsid w:val="009E4FA7"/>
    <w:rsid w:val="009E53EF"/>
    <w:rsid w:val="009F72FA"/>
    <w:rsid w:val="00A07BB2"/>
    <w:rsid w:val="00A33A99"/>
    <w:rsid w:val="00A35755"/>
    <w:rsid w:val="00A438EC"/>
    <w:rsid w:val="00A54916"/>
    <w:rsid w:val="00A708E9"/>
    <w:rsid w:val="00A746EB"/>
    <w:rsid w:val="00A83A97"/>
    <w:rsid w:val="00AA1D8D"/>
    <w:rsid w:val="00AA398B"/>
    <w:rsid w:val="00AB1410"/>
    <w:rsid w:val="00AB5B4E"/>
    <w:rsid w:val="00AD5816"/>
    <w:rsid w:val="00AE06DA"/>
    <w:rsid w:val="00AE1D94"/>
    <w:rsid w:val="00AF161A"/>
    <w:rsid w:val="00AF3E71"/>
    <w:rsid w:val="00B17B07"/>
    <w:rsid w:val="00B360F1"/>
    <w:rsid w:val="00B47730"/>
    <w:rsid w:val="00B53D89"/>
    <w:rsid w:val="00B565AD"/>
    <w:rsid w:val="00B65375"/>
    <w:rsid w:val="00B7232C"/>
    <w:rsid w:val="00B7434A"/>
    <w:rsid w:val="00B77C2E"/>
    <w:rsid w:val="00B87A5E"/>
    <w:rsid w:val="00B903DD"/>
    <w:rsid w:val="00BC1A2C"/>
    <w:rsid w:val="00BC5E63"/>
    <w:rsid w:val="00BE458D"/>
    <w:rsid w:val="00BF64B5"/>
    <w:rsid w:val="00C11286"/>
    <w:rsid w:val="00C13BD8"/>
    <w:rsid w:val="00C213BB"/>
    <w:rsid w:val="00C331D8"/>
    <w:rsid w:val="00C35BB7"/>
    <w:rsid w:val="00C61B64"/>
    <w:rsid w:val="00C74D5D"/>
    <w:rsid w:val="00CA4296"/>
    <w:rsid w:val="00CB0664"/>
    <w:rsid w:val="00CB7FA4"/>
    <w:rsid w:val="00CC5B40"/>
    <w:rsid w:val="00CC7BD9"/>
    <w:rsid w:val="00CD1A8E"/>
    <w:rsid w:val="00CD7CBC"/>
    <w:rsid w:val="00D1261B"/>
    <w:rsid w:val="00D25167"/>
    <w:rsid w:val="00D301A0"/>
    <w:rsid w:val="00D3293E"/>
    <w:rsid w:val="00D329E8"/>
    <w:rsid w:val="00D36DA5"/>
    <w:rsid w:val="00D40327"/>
    <w:rsid w:val="00D41B0B"/>
    <w:rsid w:val="00D52DB6"/>
    <w:rsid w:val="00D60500"/>
    <w:rsid w:val="00D65E46"/>
    <w:rsid w:val="00D743F7"/>
    <w:rsid w:val="00D806EB"/>
    <w:rsid w:val="00DA177E"/>
    <w:rsid w:val="00DB0116"/>
    <w:rsid w:val="00DB1968"/>
    <w:rsid w:val="00DB2A7C"/>
    <w:rsid w:val="00DB6D50"/>
    <w:rsid w:val="00DC41CC"/>
    <w:rsid w:val="00DD7928"/>
    <w:rsid w:val="00DE6754"/>
    <w:rsid w:val="00DF1F78"/>
    <w:rsid w:val="00E101BB"/>
    <w:rsid w:val="00E24A70"/>
    <w:rsid w:val="00E25D33"/>
    <w:rsid w:val="00E3176D"/>
    <w:rsid w:val="00E45BFF"/>
    <w:rsid w:val="00E546CA"/>
    <w:rsid w:val="00E651DE"/>
    <w:rsid w:val="00E70022"/>
    <w:rsid w:val="00E74E99"/>
    <w:rsid w:val="00E8228A"/>
    <w:rsid w:val="00E90698"/>
    <w:rsid w:val="00EB6258"/>
    <w:rsid w:val="00EC6452"/>
    <w:rsid w:val="00EF37D4"/>
    <w:rsid w:val="00F1143F"/>
    <w:rsid w:val="00F331B6"/>
    <w:rsid w:val="00F33FF0"/>
    <w:rsid w:val="00F5147D"/>
    <w:rsid w:val="00F52ED7"/>
    <w:rsid w:val="00F5322E"/>
    <w:rsid w:val="00F62E00"/>
    <w:rsid w:val="00F6369E"/>
    <w:rsid w:val="00F77790"/>
    <w:rsid w:val="00F817D7"/>
    <w:rsid w:val="00F83BA4"/>
    <w:rsid w:val="00FB24A1"/>
    <w:rsid w:val="00FC693F"/>
    <w:rsid w:val="00FD36CC"/>
    <w:rsid w:val="00FF5835"/>
    <w:rsid w:val="09342F98"/>
    <w:rsid w:val="0C9E24D8"/>
    <w:rsid w:val="1076783F"/>
    <w:rsid w:val="2DB3350B"/>
    <w:rsid w:val="37AF595A"/>
    <w:rsid w:val="56EF3E13"/>
    <w:rsid w:val="767ED3D9"/>
    <w:rsid w:val="7DDFF172"/>
    <w:rsid w:val="7FAE6FBC"/>
    <w:rsid w:val="9F9416EB"/>
    <w:rsid w:val="CFBD0988"/>
    <w:rsid w:val="DDEF3CA1"/>
    <w:rsid w:val="EF77DBA3"/>
    <w:rsid w:val="EFD5C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C6EBB5"/>
  <w14:defaultImageDpi w14:val="300"/>
  <w15:docId w15:val="{4E2E8E8A-4106-47DE-A5B7-4EC9418DF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360" w:lineRule="auto"/>
      <w:jc w:val="both"/>
    </w:pPr>
    <w:rPr>
      <w:rFonts w:eastAsia="Times New Roman" w:cstheme="minorBidi"/>
      <w:sz w:val="22"/>
      <w:szCs w:val="22"/>
      <w:lang w:val="en-US" w:eastAsia="en-US"/>
    </w:rPr>
  </w:style>
  <w:style w:type="paragraph" w:styleId="berschrift1">
    <w:name w:val="heading 1"/>
    <w:basedOn w:val="Standard"/>
    <w:next w:val="Standard"/>
    <w:link w:val="berschrift1Zchn"/>
    <w:uiPriority w:val="9"/>
    <w:qFormat/>
    <w:pPr>
      <w:keepNext/>
      <w:keepLines/>
      <w:spacing w:before="240"/>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pPr>
      <w:keepNext/>
      <w:keepLines/>
      <w:spacing w:before="240"/>
      <w:outlineLvl w:val="1"/>
    </w:pPr>
    <w:rPr>
      <w:rFonts w:asciiTheme="majorHAnsi" w:eastAsiaTheme="majorEastAsia" w:hAnsiTheme="majorHAnsi" w:cstheme="majorBidi"/>
      <w:b/>
      <w:bCs/>
      <w:color w:val="000000"/>
      <w:sz w:val="24"/>
      <w:szCs w:val="26"/>
    </w:rPr>
  </w:style>
  <w:style w:type="paragraph" w:styleId="berschrift3">
    <w:name w:val="heading 3"/>
    <w:basedOn w:val="Standard"/>
    <w:next w:val="Standard"/>
    <w:link w:val="berschrift3Zchn"/>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berschrift6">
    <w:name w:val="heading 6"/>
    <w:basedOn w:val="Standard"/>
    <w:next w:val="Standard"/>
    <w:link w:val="berschrift6Zchn"/>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berschrift7">
    <w:name w:val="heading 7"/>
    <w:basedOn w:val="Standard"/>
    <w:next w:val="Standard"/>
    <w:link w:val="berschrift7Zchn"/>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3">
    <w:name w:val="List 3"/>
    <w:basedOn w:val="Standard"/>
    <w:uiPriority w:val="99"/>
    <w:unhideWhenUsed/>
    <w:qFormat/>
    <w:pPr>
      <w:ind w:left="1080" w:hanging="360"/>
      <w:contextualSpacing/>
    </w:pPr>
  </w:style>
  <w:style w:type="paragraph" w:styleId="Listennummer2">
    <w:name w:val="List Number 2"/>
    <w:basedOn w:val="Standard"/>
    <w:uiPriority w:val="99"/>
    <w:unhideWhenUsed/>
    <w:qFormat/>
    <w:pPr>
      <w:numPr>
        <w:numId w:val="1"/>
      </w:numPr>
      <w:contextualSpacing/>
    </w:pPr>
  </w:style>
  <w:style w:type="paragraph" w:styleId="Makrotext">
    <w:name w:val="macro"/>
    <w:link w:val="MakrotextZchn"/>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Listennummer">
    <w:name w:val="List Number"/>
    <w:basedOn w:val="Standard"/>
    <w:uiPriority w:val="99"/>
    <w:unhideWhenUsed/>
    <w:qFormat/>
    <w:pPr>
      <w:numPr>
        <w:numId w:val="2"/>
      </w:numPr>
      <w:contextualSpacing/>
    </w:pPr>
  </w:style>
  <w:style w:type="paragraph" w:styleId="Beschriftung">
    <w:name w:val="caption"/>
    <w:basedOn w:val="Standard"/>
    <w:next w:val="Standard"/>
    <w:uiPriority w:val="35"/>
    <w:unhideWhenUsed/>
    <w:qFormat/>
    <w:pPr>
      <w:spacing w:line="240" w:lineRule="auto"/>
    </w:pPr>
    <w:rPr>
      <w:b/>
      <w:bCs/>
      <w:color w:val="4F81BD" w:themeColor="accent1"/>
      <w:sz w:val="18"/>
      <w:szCs w:val="18"/>
    </w:rPr>
  </w:style>
  <w:style w:type="paragraph" w:styleId="Aufzhlungszeichen">
    <w:name w:val="List Bullet"/>
    <w:basedOn w:val="Standard"/>
    <w:uiPriority w:val="99"/>
    <w:unhideWhenUsed/>
    <w:qFormat/>
    <w:pPr>
      <w:numPr>
        <w:numId w:val="3"/>
      </w:numPr>
      <w:contextualSpacing/>
    </w:pPr>
  </w:style>
  <w:style w:type="paragraph" w:styleId="Textkrper3">
    <w:name w:val="Body Text 3"/>
    <w:basedOn w:val="Standard"/>
    <w:link w:val="Textkrper3Zchn"/>
    <w:uiPriority w:val="99"/>
    <w:unhideWhenUsed/>
    <w:qFormat/>
    <w:rPr>
      <w:sz w:val="16"/>
      <w:szCs w:val="16"/>
    </w:rPr>
  </w:style>
  <w:style w:type="paragraph" w:styleId="Aufzhlungszeichen3">
    <w:name w:val="List Bullet 3"/>
    <w:basedOn w:val="Standard"/>
    <w:uiPriority w:val="99"/>
    <w:unhideWhenUsed/>
    <w:qFormat/>
    <w:pPr>
      <w:numPr>
        <w:numId w:val="4"/>
      </w:numPr>
      <w:contextualSpacing/>
    </w:pPr>
  </w:style>
  <w:style w:type="paragraph" w:styleId="Textkrper">
    <w:name w:val="Body Text"/>
    <w:basedOn w:val="Standard"/>
    <w:link w:val="TextkrperZchn"/>
    <w:uiPriority w:val="99"/>
    <w:unhideWhenUsed/>
    <w:qFormat/>
  </w:style>
  <w:style w:type="paragraph" w:styleId="Listennummer3">
    <w:name w:val="List Number 3"/>
    <w:basedOn w:val="Standard"/>
    <w:uiPriority w:val="99"/>
    <w:unhideWhenUsed/>
    <w:qFormat/>
    <w:pPr>
      <w:numPr>
        <w:numId w:val="5"/>
      </w:numPr>
      <w:contextualSpacing/>
    </w:pPr>
  </w:style>
  <w:style w:type="paragraph" w:styleId="Liste2">
    <w:name w:val="List 2"/>
    <w:basedOn w:val="Standard"/>
    <w:uiPriority w:val="99"/>
    <w:unhideWhenUsed/>
    <w:qFormat/>
    <w:pPr>
      <w:ind w:left="720" w:hanging="360"/>
      <w:contextualSpacing/>
    </w:pPr>
  </w:style>
  <w:style w:type="paragraph" w:styleId="Listenfortsetzung">
    <w:name w:val="List Continue"/>
    <w:basedOn w:val="Standard"/>
    <w:uiPriority w:val="99"/>
    <w:unhideWhenUsed/>
    <w:qFormat/>
    <w:pPr>
      <w:ind w:left="360"/>
      <w:contextualSpacing/>
    </w:pPr>
  </w:style>
  <w:style w:type="paragraph" w:styleId="Aufzhlungszeichen2">
    <w:name w:val="List Bullet 2"/>
    <w:basedOn w:val="Standard"/>
    <w:uiPriority w:val="99"/>
    <w:unhideWhenUsed/>
    <w:qFormat/>
    <w:pPr>
      <w:numPr>
        <w:numId w:val="6"/>
      </w:numPr>
      <w:contextualSpacing/>
    </w:pPr>
  </w:style>
  <w:style w:type="paragraph" w:styleId="Fuzeile">
    <w:name w:val="footer"/>
    <w:basedOn w:val="Standard"/>
    <w:link w:val="FuzeileZchn"/>
    <w:uiPriority w:val="99"/>
    <w:unhideWhenUsed/>
    <w:qFormat/>
    <w:pPr>
      <w:tabs>
        <w:tab w:val="center" w:pos="4680"/>
        <w:tab w:val="right" w:pos="9360"/>
      </w:tabs>
      <w:spacing w:after="0" w:line="240" w:lineRule="auto"/>
    </w:pPr>
  </w:style>
  <w:style w:type="paragraph" w:styleId="Kopfzeile">
    <w:name w:val="header"/>
    <w:basedOn w:val="Standard"/>
    <w:link w:val="KopfzeileZchn"/>
    <w:uiPriority w:val="99"/>
    <w:unhideWhenUsed/>
    <w:qFormat/>
    <w:pPr>
      <w:tabs>
        <w:tab w:val="center" w:pos="4680"/>
        <w:tab w:val="right" w:pos="9360"/>
      </w:tabs>
      <w:spacing w:after="0" w:line="240" w:lineRule="auto"/>
    </w:pPr>
  </w:style>
  <w:style w:type="paragraph" w:styleId="Untertitel">
    <w:name w:val="Subtitle"/>
    <w:basedOn w:val="Standard"/>
    <w:next w:val="Standard"/>
    <w:link w:val="UntertitelZchn"/>
    <w:uiPriority w:val="11"/>
    <w:qFormat/>
    <w:rPr>
      <w:rFonts w:asciiTheme="majorHAnsi" w:eastAsiaTheme="majorEastAsia" w:hAnsiTheme="majorHAnsi" w:cstheme="majorBidi"/>
      <w:i/>
      <w:iCs/>
      <w:color w:val="4F81BD" w:themeColor="accent1"/>
      <w:spacing w:val="15"/>
      <w:sz w:val="24"/>
      <w:szCs w:val="24"/>
    </w:rPr>
  </w:style>
  <w:style w:type="paragraph" w:styleId="Liste">
    <w:name w:val="List"/>
    <w:basedOn w:val="Standard"/>
    <w:uiPriority w:val="99"/>
    <w:unhideWhenUsed/>
    <w:qFormat/>
    <w:pPr>
      <w:ind w:left="360" w:hanging="360"/>
      <w:contextualSpacing/>
    </w:pPr>
  </w:style>
  <w:style w:type="paragraph" w:styleId="Textkrper2">
    <w:name w:val="Body Text 2"/>
    <w:basedOn w:val="Standard"/>
    <w:link w:val="Textkrper2Zchn"/>
    <w:uiPriority w:val="99"/>
    <w:unhideWhenUsed/>
    <w:qFormat/>
    <w:pPr>
      <w:spacing w:line="480" w:lineRule="auto"/>
    </w:pPr>
  </w:style>
  <w:style w:type="paragraph" w:styleId="Listenfortsetzung2">
    <w:name w:val="List Continue 2"/>
    <w:basedOn w:val="Standard"/>
    <w:uiPriority w:val="99"/>
    <w:unhideWhenUsed/>
    <w:qFormat/>
    <w:pPr>
      <w:ind w:left="720"/>
      <w:contextualSpacing/>
    </w:pPr>
  </w:style>
  <w:style w:type="paragraph" w:styleId="StandardWeb">
    <w:name w:val="Normal (Web)"/>
    <w:basedOn w:val="Standard"/>
    <w:link w:val="StandardWebZchn"/>
    <w:uiPriority w:val="99"/>
    <w:unhideWhenUsed/>
    <w:qFormat/>
    <w:pPr>
      <w:spacing w:before="100" w:beforeAutospacing="1" w:after="100" w:afterAutospacing="1" w:line="240" w:lineRule="auto"/>
      <w:jc w:val="left"/>
    </w:pPr>
    <w:rPr>
      <w:rFonts w:eastAsiaTheme="minorEastAsia" w:cs="Times New Roman"/>
      <w:sz w:val="24"/>
      <w:szCs w:val="24"/>
      <w:lang w:val="de-DE" w:eastAsia="zh-CN"/>
    </w:rPr>
  </w:style>
  <w:style w:type="paragraph" w:styleId="Listenfortsetzung3">
    <w:name w:val="List Continue 3"/>
    <w:basedOn w:val="Standard"/>
    <w:uiPriority w:val="99"/>
    <w:unhideWhenUsed/>
    <w:qFormat/>
    <w:pPr>
      <w:ind w:left="1080"/>
      <w:contextualSpacing/>
    </w:pPr>
  </w:style>
  <w:style w:type="paragraph" w:styleId="Titel">
    <w:name w:val="Title"/>
    <w:basedOn w:val="Standard"/>
    <w:next w:val="Standard"/>
    <w:link w:val="TitelZchn"/>
    <w:uiPriority w:val="10"/>
    <w:qFormat/>
    <w:pPr>
      <w:keepNext/>
      <w:spacing w:before="240" w:line="240" w:lineRule="auto"/>
      <w:contextualSpacing/>
    </w:pPr>
    <w:rPr>
      <w:rFonts w:asciiTheme="majorHAnsi" w:eastAsiaTheme="majorEastAsia" w:hAnsiTheme="majorHAnsi" w:cstheme="majorBidi"/>
      <w:b/>
      <w:color w:val="000000"/>
      <w:spacing w:val="5"/>
      <w:kern w:val="28"/>
      <w:sz w:val="32"/>
      <w:szCs w:val="52"/>
    </w:r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styleId="Zeilennummer">
    <w:name w:val="line number"/>
    <w:basedOn w:val="Absatz-Standardschriftart"/>
    <w:uiPriority w:val="99"/>
    <w:unhideWhenUsed/>
    <w:qFormat/>
  </w:style>
  <w:style w:type="character" w:styleId="Hyperlink">
    <w:name w:val="Hyperlink"/>
    <w:basedOn w:val="Absatz-Standardschriftart"/>
    <w:uiPriority w:val="99"/>
    <w:unhideWhenUsed/>
    <w:qFormat/>
    <w:rPr>
      <w:color w:val="0000FF" w:themeColor="hyperlink"/>
      <w:u w:val="single"/>
    </w:rPr>
  </w:style>
  <w:style w:type="table" w:styleId="Tabellenraster">
    <w:name w:val="Table Grid"/>
    <w:basedOn w:val="NormaleTabell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HellesRaster-Akzent1">
    <w:name w:val="Light Grid Accent 1"/>
    <w:basedOn w:val="NormaleTabelle"/>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HellesRaster-Akzent2">
    <w:name w:val="Light Grid Accent 2"/>
    <w:basedOn w:val="NormaleTabelle"/>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HellesRaster-Akzent3">
    <w:name w:val="Light Grid Accent 3"/>
    <w:basedOn w:val="NormaleTabelle"/>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HellesRaster-Akzent4">
    <w:name w:val="Light Grid Accent 4"/>
    <w:basedOn w:val="NormaleTabelle"/>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HellesRaster-Akzent5">
    <w:name w:val="Light Grid Accent 5"/>
    <w:basedOn w:val="NormaleTabelle"/>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HellesRaster-Akzent6">
    <w:name w:val="Light Grid Accent 6"/>
    <w:basedOn w:val="NormaleTabelle"/>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ittlereSchattierung1">
    <w:name w:val="Medium Shading 1"/>
    <w:basedOn w:val="NormaleTabelle"/>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ittleresRaster3-Akzent1">
    <w:name w:val="Medium Grid 3 Accent 1"/>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ittleresRaster3-Akzent2">
    <w:name w:val="Medium Grid 3 Accent 2"/>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ittleresRaster3-Akzent3">
    <w:name w:val="Medium Grid 3 Accent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ittleresRaster3-Akzent4">
    <w:name w:val="Medium Grid 3 Accent 4"/>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ittleresRaster3-Akzent5">
    <w:name w:val="Medium Grid 3 Accent 5"/>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ittleresRaster3-Akzent6">
    <w:name w:val="Medium Grid 3 Accent 6"/>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unkleListe">
    <w:name w:val="Dark List"/>
    <w:basedOn w:val="NormaleTabelle"/>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KopfzeileZchn">
    <w:name w:val="Kopfzeile Zchn"/>
    <w:basedOn w:val="Absatz-Standardschriftart"/>
    <w:link w:val="Kopfzeile"/>
    <w:uiPriority w:val="99"/>
    <w:qFormat/>
  </w:style>
  <w:style w:type="character" w:customStyle="1" w:styleId="FuzeileZchn">
    <w:name w:val="Fußzeile Zchn"/>
    <w:basedOn w:val="Absatz-Standardschriftart"/>
    <w:link w:val="Fuzeile"/>
    <w:uiPriority w:val="99"/>
    <w:qFormat/>
  </w:style>
  <w:style w:type="paragraph" w:customStyle="1" w:styleId="KeinLeerraum1">
    <w:name w:val="Kein Leerraum1"/>
    <w:uiPriority w:val="1"/>
    <w:qFormat/>
    <w:rPr>
      <w:rFonts w:asciiTheme="minorHAnsi" w:eastAsiaTheme="minorEastAsia" w:hAnsiTheme="minorHAnsi" w:cstheme="minorBidi"/>
      <w:sz w:val="22"/>
      <w:szCs w:val="22"/>
      <w:lang w:val="en-US" w:eastAsia="en-US"/>
    </w:rPr>
  </w:style>
  <w:style w:type="character" w:customStyle="1" w:styleId="berschrift1Zchn">
    <w:name w:val="Überschrift 1 Zchn"/>
    <w:basedOn w:val="Absatz-Standardschriftart"/>
    <w:link w:val="berschrift1"/>
    <w:uiPriority w:val="9"/>
    <w:qFormat/>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UntertitelZchn">
    <w:name w:val="Untertitel Zchn"/>
    <w:basedOn w:val="Absatz-Standardschriftart"/>
    <w:link w:val="Untertitel"/>
    <w:uiPriority w:val="11"/>
    <w:qFormat/>
    <w:rPr>
      <w:rFonts w:asciiTheme="majorHAnsi" w:eastAsiaTheme="majorEastAsia" w:hAnsiTheme="majorHAnsi" w:cstheme="majorBidi"/>
      <w:i/>
      <w:iCs/>
      <w:color w:val="4F81BD" w:themeColor="accent1"/>
      <w:spacing w:val="15"/>
      <w:sz w:val="24"/>
      <w:szCs w:val="24"/>
    </w:rPr>
  </w:style>
  <w:style w:type="paragraph" w:customStyle="1" w:styleId="Listenabsatz1">
    <w:name w:val="Listenabsatz1"/>
    <w:basedOn w:val="Standard"/>
    <w:uiPriority w:val="34"/>
    <w:qFormat/>
    <w:pPr>
      <w:ind w:left="720"/>
      <w:contextualSpacing/>
    </w:pPr>
  </w:style>
  <w:style w:type="character" w:customStyle="1" w:styleId="TextkrperZchn">
    <w:name w:val="Textkörper Zchn"/>
    <w:basedOn w:val="Absatz-Standardschriftart"/>
    <w:link w:val="Textkrper"/>
    <w:uiPriority w:val="99"/>
    <w:qFormat/>
  </w:style>
  <w:style w:type="character" w:customStyle="1" w:styleId="Textkrper2Zchn">
    <w:name w:val="Textkörper 2 Zchn"/>
    <w:basedOn w:val="Absatz-Standardschriftart"/>
    <w:link w:val="Textkrper2"/>
    <w:uiPriority w:val="99"/>
    <w:qFormat/>
  </w:style>
  <w:style w:type="character" w:customStyle="1" w:styleId="Textkrper3Zchn">
    <w:name w:val="Textkörper 3 Zchn"/>
    <w:basedOn w:val="Absatz-Standardschriftart"/>
    <w:link w:val="Textkrper3"/>
    <w:uiPriority w:val="99"/>
    <w:qFormat/>
    <w:rPr>
      <w:sz w:val="16"/>
      <w:szCs w:val="16"/>
    </w:rPr>
  </w:style>
  <w:style w:type="character" w:customStyle="1" w:styleId="MakrotextZchn">
    <w:name w:val="Makrotext Zchn"/>
    <w:basedOn w:val="Absatz-Standardschriftart"/>
    <w:link w:val="Makrotext"/>
    <w:uiPriority w:val="99"/>
    <w:qFormat/>
    <w:rPr>
      <w:rFonts w:ascii="Courier" w:hAnsi="Courier"/>
      <w:sz w:val="20"/>
      <w:szCs w:val="20"/>
    </w:rPr>
  </w:style>
  <w:style w:type="paragraph" w:customStyle="1" w:styleId="Zitat1">
    <w:name w:val="Zitat1"/>
    <w:basedOn w:val="Standard"/>
    <w:next w:val="Standard"/>
    <w:link w:val="ZitatZchn"/>
    <w:uiPriority w:val="29"/>
    <w:qFormat/>
    <w:rPr>
      <w:i/>
      <w:iCs/>
      <w:color w:val="000000" w:themeColor="text1"/>
    </w:rPr>
  </w:style>
  <w:style w:type="character" w:customStyle="1" w:styleId="ZitatZchn">
    <w:name w:val="Zitat Zchn"/>
    <w:basedOn w:val="Absatz-Standardschriftart"/>
    <w:link w:val="Zitat1"/>
    <w:uiPriority w:val="29"/>
    <w:qFormat/>
    <w:rPr>
      <w:i/>
      <w:iCs/>
      <w:color w:val="000000" w:themeColor="text1"/>
    </w:rPr>
  </w:style>
  <w:style w:type="character" w:customStyle="1" w:styleId="berschrift4Zchn">
    <w:name w:val="Überschrift 4 Zchn"/>
    <w:basedOn w:val="Absatz-Standardschriftart"/>
    <w:link w:val="berschrift4"/>
    <w:uiPriority w:val="9"/>
    <w:semiHidden/>
    <w:qFormat/>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Pr>
      <w:rFonts w:asciiTheme="majorHAnsi" w:eastAsiaTheme="majorEastAsia" w:hAnsiTheme="majorHAnsi" w:cstheme="majorBidi"/>
      <w:color w:val="244061" w:themeColor="accent1" w:themeShade="80"/>
    </w:rPr>
  </w:style>
  <w:style w:type="character" w:customStyle="1" w:styleId="berschrift6Zchn">
    <w:name w:val="Überschrift 6 Zchn"/>
    <w:basedOn w:val="Absatz-Standardschriftart"/>
    <w:link w:val="berschrift6"/>
    <w:uiPriority w:val="9"/>
    <w:semiHidden/>
    <w:qFormat/>
    <w:rPr>
      <w:rFonts w:asciiTheme="majorHAnsi" w:eastAsiaTheme="majorEastAsia" w:hAnsiTheme="majorHAnsi" w:cstheme="majorBidi"/>
      <w:i/>
      <w:iCs/>
      <w:color w:val="244061" w:themeColor="accent1" w:themeShade="80"/>
    </w:rPr>
  </w:style>
  <w:style w:type="character" w:customStyle="1" w:styleId="berschrift7Zchn">
    <w:name w:val="Überschrift 7 Zchn"/>
    <w:basedOn w:val="Absatz-Standardschriftart"/>
    <w:link w:val="berschrift7"/>
    <w:uiPriority w:val="9"/>
    <w:semiHidden/>
    <w:qFormat/>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Pr>
      <w:rFonts w:asciiTheme="majorHAnsi" w:eastAsiaTheme="majorEastAsia" w:hAnsiTheme="majorHAnsi" w:cstheme="majorBidi"/>
      <w:i/>
      <w:iCs/>
      <w:color w:val="404040" w:themeColor="text1" w:themeTint="BF"/>
      <w:sz w:val="20"/>
      <w:szCs w:val="20"/>
    </w:rPr>
  </w:style>
  <w:style w:type="paragraph" w:customStyle="1" w:styleId="IntensivesZitat1">
    <w:name w:val="Intensives Zitat1"/>
    <w:basedOn w:val="Standard"/>
    <w:next w:val="Standard"/>
    <w:link w:val="IntensivesZitatZchn"/>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1"/>
    <w:uiPriority w:val="30"/>
    <w:qFormat/>
    <w:rPr>
      <w:b/>
      <w:bCs/>
      <w:i/>
      <w:iCs/>
      <w:color w:val="4F81BD" w:themeColor="accent1"/>
    </w:rPr>
  </w:style>
  <w:style w:type="character" w:customStyle="1" w:styleId="1">
    <w:name w:val="不明显强调1"/>
    <w:basedOn w:val="Absatz-Standardschriftart"/>
    <w:uiPriority w:val="19"/>
    <w:qFormat/>
    <w:rPr>
      <w:i/>
      <w:iCs/>
      <w:color w:val="7F7F7F" w:themeColor="text1" w:themeTint="80"/>
    </w:rPr>
  </w:style>
  <w:style w:type="character" w:customStyle="1" w:styleId="10">
    <w:name w:val="明显强调1"/>
    <w:basedOn w:val="Absatz-Standardschriftart"/>
    <w:uiPriority w:val="21"/>
    <w:qFormat/>
    <w:rPr>
      <w:b/>
      <w:bCs/>
      <w:i/>
      <w:iCs/>
      <w:color w:val="4F81BD" w:themeColor="accent1"/>
    </w:rPr>
  </w:style>
  <w:style w:type="character" w:customStyle="1" w:styleId="11">
    <w:name w:val="不明显参考1"/>
    <w:basedOn w:val="Absatz-Standardschriftart"/>
    <w:uiPriority w:val="31"/>
    <w:qFormat/>
    <w:rPr>
      <w:smallCaps/>
      <w:color w:val="C0504D" w:themeColor="accent2"/>
      <w:u w:val="single"/>
    </w:rPr>
  </w:style>
  <w:style w:type="character" w:customStyle="1" w:styleId="12">
    <w:name w:val="明显参考1"/>
    <w:basedOn w:val="Absatz-Standardschriftart"/>
    <w:uiPriority w:val="32"/>
    <w:qFormat/>
    <w:rPr>
      <w:b/>
      <w:bCs/>
      <w:smallCaps/>
      <w:color w:val="C0504D" w:themeColor="accent2"/>
      <w:spacing w:val="5"/>
      <w:u w:val="single"/>
    </w:rPr>
  </w:style>
  <w:style w:type="character" w:customStyle="1" w:styleId="13">
    <w:name w:val="书籍标题1"/>
    <w:basedOn w:val="Absatz-Standardschriftart"/>
    <w:uiPriority w:val="33"/>
    <w:qFormat/>
    <w:rPr>
      <w:b/>
      <w:bCs/>
      <w:smallCaps/>
      <w:spacing w:val="5"/>
    </w:rPr>
  </w:style>
  <w:style w:type="paragraph" w:customStyle="1" w:styleId="TOC1">
    <w:name w:val="TOC 标题1"/>
    <w:basedOn w:val="berschrift1"/>
    <w:next w:val="Standard"/>
    <w:uiPriority w:val="39"/>
    <w:unhideWhenUsed/>
    <w:qFormat/>
    <w:pPr>
      <w:outlineLvl w:val="9"/>
    </w:pPr>
  </w:style>
  <w:style w:type="paragraph" w:customStyle="1" w:styleId="berarbeitung1">
    <w:name w:val="Überarbeitung1"/>
    <w:hidden/>
    <w:uiPriority w:val="99"/>
    <w:unhideWhenUsed/>
    <w:qFormat/>
    <w:rPr>
      <w:rFonts w:eastAsia="Times New Roman" w:cstheme="minorBidi"/>
      <w:sz w:val="22"/>
      <w:szCs w:val="22"/>
      <w:lang w:val="en-US" w:eastAsia="en-US"/>
    </w:rPr>
  </w:style>
  <w:style w:type="character" w:customStyle="1" w:styleId="StandardWebZchn">
    <w:name w:val="Standard (Web) Zchn"/>
    <w:basedOn w:val="Absatz-Standardschriftart"/>
    <w:link w:val="StandardWeb"/>
    <w:uiPriority w:val="99"/>
    <w:qFormat/>
    <w:rPr>
      <w:rFonts w:eastAsiaTheme="minorEastAsia"/>
      <w:sz w:val="24"/>
      <w:szCs w:val="24"/>
    </w:rPr>
  </w:style>
  <w:style w:type="paragraph" w:customStyle="1" w:styleId="EndNoteBibliographyTitle">
    <w:name w:val="EndNote Bibliography Title"/>
    <w:basedOn w:val="Standard"/>
    <w:link w:val="EndNoteBibliographyTitleZchn"/>
    <w:qFormat/>
    <w:pPr>
      <w:spacing w:after="0"/>
      <w:jc w:val="center"/>
    </w:pPr>
    <w:rPr>
      <w:rFonts w:cs="Times New Roman"/>
    </w:rPr>
  </w:style>
  <w:style w:type="character" w:customStyle="1" w:styleId="EndNoteBibliographyTitleZchn">
    <w:name w:val="EndNote Bibliography Title Zchn"/>
    <w:basedOn w:val="Absatz-Standardschriftart"/>
    <w:link w:val="EndNoteBibliographyTitle"/>
    <w:qFormat/>
    <w:rPr>
      <w:rFonts w:eastAsia="Times New Roman"/>
      <w:sz w:val="22"/>
      <w:szCs w:val="22"/>
      <w:lang w:val="en-US" w:eastAsia="en-US"/>
    </w:rPr>
  </w:style>
  <w:style w:type="paragraph" w:customStyle="1" w:styleId="EndNoteBibliography">
    <w:name w:val="EndNote Bibliography"/>
    <w:basedOn w:val="Standard"/>
    <w:link w:val="EndNoteBibliographyZchn"/>
    <w:qFormat/>
    <w:pPr>
      <w:spacing w:line="240" w:lineRule="auto"/>
    </w:pPr>
    <w:rPr>
      <w:rFonts w:cs="Times New Roman"/>
    </w:rPr>
  </w:style>
  <w:style w:type="character" w:customStyle="1" w:styleId="EndNoteBibliographyZchn">
    <w:name w:val="EndNote Bibliography Zchn"/>
    <w:basedOn w:val="Absatz-Standardschriftart"/>
    <w:link w:val="EndNoteBibliography"/>
    <w:qFormat/>
    <w:rPr>
      <w:rFonts w:eastAsia="Times New Roman"/>
      <w:sz w:val="22"/>
      <w:szCs w:val="22"/>
      <w:lang w:val="en-US" w:eastAsia="en-US"/>
    </w:rPr>
  </w:style>
  <w:style w:type="character" w:customStyle="1" w:styleId="NichtaufgelsteErwhnung1">
    <w:name w:val="Nicht aufgelöste Erwähnung1"/>
    <w:basedOn w:val="Absatz-Standardschriftart"/>
    <w:uiPriority w:val="99"/>
    <w:unhideWhenUsed/>
    <w:qFormat/>
    <w:rPr>
      <w:color w:val="605E5C"/>
      <w:shd w:val="clear" w:color="auto" w:fill="E1DFDD"/>
    </w:rPr>
  </w:style>
  <w:style w:type="paragraph" w:styleId="Listenabsatz">
    <w:name w:val="List Paragraph"/>
    <w:basedOn w:val="Standard"/>
    <w:uiPriority w:val="99"/>
    <w:unhideWhenUsed/>
    <w:rsid w:val="00905F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iu.Jing@mh-hannover.d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9392</Words>
  <Characters>59172</Characters>
  <Application>Microsoft Office Word</Application>
  <DocSecurity>0</DocSecurity>
  <Lines>493</Lines>
  <Paragraphs>136</Paragraphs>
  <ScaleCrop>false</ScaleCrop>
  <HeadingPairs>
    <vt:vector size="2" baseType="variant">
      <vt:variant>
        <vt:lpstr>Titel</vt:lpstr>
      </vt:variant>
      <vt:variant>
        <vt:i4>1</vt:i4>
      </vt:variant>
    </vt:vector>
  </HeadingPairs>
  <TitlesOfParts>
    <vt:vector size="1" baseType="lpstr">
      <vt:lpstr>Patient-aware single-cell analyses link a DoRothEA-derived BACH1 score to hypoxia-associated transcriptional context in non-small cell lung cancer</vt:lpstr>
    </vt:vector>
  </TitlesOfParts>
  <Company>MHH</Company>
  <LinksUpToDate>false</LinksUpToDate>
  <CharactersWithSpaces>68428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Patient-aware single-cell analyses link a DoRothEA-derived BACH1 score to hypoxia-associated transcriptional context in non-small cell lung cancer</dc:title>
  <dc:subject>Nature-family manuscript draft</dc:subject>
  <dc:creator>python-docx</dc:creator>
  <dc:description>generated by python-docx</dc:description>
  <cp:lastModifiedBy>Liu, Jing</cp:lastModifiedBy>
  <cp:revision>19</cp:revision>
  <dcterms:created xsi:type="dcterms:W3CDTF">2026-08-27T12:44:00Z</dcterms:created>
  <dcterms:modified xsi:type="dcterms:W3CDTF">2026-09-15T13:20:00Z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eyJoZGlkIjoiNGMwZmExNDdjOGRjYzI3ZGVhNWY1ODA3ZTM3Y2U1ZGMiLCJ1c2VySWQiOiI0MjgxNzQ0NTgifQ==</vt:lpwstr>
  </property>
  <property fmtid="{D5CDD505-2E9C-101B-9397-08002B2CF9AE}" pid="3" name="KSOProductBuildVer">
    <vt:lpwstr>2052-3.7.0.5929</vt:lpwstr>
  </property>
  <property fmtid="{D5CDD505-2E9C-101B-9397-08002B2CF9AE}" pid="4" name="ICV">
    <vt:lpwstr>DAD2D2940BC044908B38CE5B891655C0_12</vt:lpwstr>
  </property>
</Properties>
</file>