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eastAsia"/>
          <w:lang w:val="en-US" w:eastAsia="zh-CN"/>
        </w:rPr>
      </w:pPr>
      <w:r>
        <w:rPr>
          <w:rFonts w:hint="eastAsia"/>
          <w:lang w:val="en-US" w:eastAsia="zh-CN"/>
        </w:rPr>
        <w:t>LUAD肺腺癌</w:t>
      </w:r>
    </w:p>
    <w:p>
      <w:pPr>
        <w:numPr>
          <w:ilvl w:val="0"/>
          <w:numId w:val="1"/>
        </w:numPr>
        <w:bidi w:val="0"/>
        <w:rPr>
          <w:rFonts w:hint="eastAsia"/>
          <w:lang w:val="en-US" w:eastAsia="zh-CN"/>
        </w:rPr>
      </w:pPr>
      <w:r>
        <w:rPr>
          <w:rFonts w:hint="eastAsia"/>
          <w:lang w:val="en-US" w:eastAsia="zh-CN"/>
        </w:rPr>
        <w:t>收集TCGA-LUAD数据</w:t>
      </w:r>
    </w:p>
    <w:p>
      <w:pPr>
        <w:numPr>
          <w:ilvl w:val="0"/>
          <w:numId w:val="0"/>
        </w:numPr>
        <w:bidi w:val="0"/>
        <w:rPr>
          <w:rFonts w:hint="eastAsia"/>
          <w:lang w:val="en-US" w:eastAsia="zh-CN"/>
        </w:rPr>
      </w:pPr>
      <w:r>
        <w:rPr>
          <w:rFonts w:hint="eastAsia"/>
          <w:lang w:val="en-US" w:eastAsia="zh-CN"/>
        </w:rPr>
        <w:t>Data（LUAD数据）</w:t>
      </w:r>
    </w:p>
    <w:p>
      <w:pPr>
        <w:numPr>
          <w:ilvl w:val="0"/>
          <w:numId w:val="0"/>
        </w:numPr>
        <w:bidi w:val="0"/>
        <w:rPr>
          <w:rFonts w:hint="eastAsia"/>
          <w:lang w:val="en-US" w:eastAsia="zh-CN"/>
        </w:rPr>
      </w:pPr>
      <w:r>
        <w:rPr>
          <w:rFonts w:hint="eastAsia"/>
          <w:lang w:val="en-US" w:eastAsia="zh-CN"/>
        </w:rPr>
        <w:t>从TCGA中共收集592条转录组数据。</w:t>
      </w:r>
    </w:p>
    <w:p>
      <w:pPr>
        <w:numPr>
          <w:ilvl w:val="0"/>
          <w:numId w:val="0"/>
        </w:numPr>
        <w:bidi w:val="0"/>
        <w:rPr>
          <w:rFonts w:hint="eastAsia"/>
          <w:lang w:val="en-US" w:eastAsia="zh-CN"/>
        </w:rPr>
      </w:pPr>
    </w:p>
    <w:p>
      <w:pPr>
        <w:numPr>
          <w:ilvl w:val="0"/>
          <w:numId w:val="1"/>
        </w:numPr>
        <w:bidi w:val="0"/>
        <w:ind w:left="0" w:leftChars="0" w:firstLine="0" w:firstLineChars="0"/>
        <w:rPr>
          <w:rFonts w:hint="eastAsia"/>
          <w:lang w:val="en-US" w:eastAsia="zh-CN"/>
        </w:rPr>
      </w:pPr>
      <w:r>
        <w:rPr>
          <w:rFonts w:hint="eastAsia"/>
          <w:lang w:val="en-US" w:eastAsia="zh-CN"/>
        </w:rPr>
        <w:t>识别与细胞周期相关的差异表达基因</w:t>
      </w:r>
    </w:p>
    <w:p>
      <w:pPr>
        <w:numPr>
          <w:ilvl w:val="0"/>
          <w:numId w:val="0"/>
        </w:numPr>
        <w:bidi w:val="0"/>
        <w:ind w:leftChars="0"/>
        <w:rPr>
          <w:rFonts w:hint="eastAsia"/>
          <w:lang w:val="en-US" w:eastAsia="zh-CN"/>
        </w:rPr>
      </w:pPr>
      <w:r>
        <w:rPr>
          <w:rFonts w:hint="eastAsia"/>
          <w:lang w:val="en-US" w:eastAsia="zh-CN"/>
        </w:rPr>
        <w:t>Data（GeneCards-细胞周期相关评分大于30.xlsx、all_diff.csv、GO_df.csv、KEGG_df.csv、gene_entriz.csv）</w:t>
      </w:r>
    </w:p>
    <w:p>
      <w:pPr>
        <w:numPr>
          <w:ilvl w:val="0"/>
          <w:numId w:val="0"/>
        </w:numPr>
        <w:bidi w:val="0"/>
        <w:ind w:leftChars="0"/>
        <w:rPr>
          <w:rFonts w:hint="default"/>
          <w:lang w:val="en-US" w:eastAsia="zh-CN"/>
        </w:rPr>
      </w:pPr>
      <w:r>
        <w:rPr>
          <w:rFonts w:hint="eastAsia"/>
          <w:lang w:val="en-US" w:eastAsia="zh-CN"/>
        </w:rPr>
        <w:t>Picture（express.pdf、volco.pdf）</w:t>
      </w:r>
    </w:p>
    <w:p>
      <w:pPr>
        <w:numPr>
          <w:ilvl w:val="0"/>
          <w:numId w:val="0"/>
        </w:numPr>
        <w:rPr>
          <w:rFonts w:hint="eastAsia"/>
          <w:lang w:val="en-US" w:eastAsia="zh-CN"/>
        </w:rPr>
      </w:pPr>
      <w:r>
        <w:rPr>
          <w:rFonts w:hint="eastAsia"/>
          <w:lang w:val="en-US" w:eastAsia="zh-CN"/>
        </w:rPr>
        <w:t>1、</w:t>
      </w:r>
      <w:r>
        <w:drawing>
          <wp:anchor distT="0" distB="0" distL="114300" distR="114300" simplePos="0" relativeHeight="251659264" behindDoc="0" locked="0" layoutInCell="1" allowOverlap="1">
            <wp:simplePos x="0" y="0"/>
            <wp:positionH relativeFrom="column">
              <wp:posOffset>94615</wp:posOffset>
            </wp:positionH>
            <wp:positionV relativeFrom="paragraph">
              <wp:posOffset>815340</wp:posOffset>
            </wp:positionV>
            <wp:extent cx="2678430" cy="2675890"/>
            <wp:effectExtent l="0" t="0" r="1270" b="381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678430" cy="2675890"/>
                    </a:xfrm>
                    <a:prstGeom prst="rect">
                      <a:avLst/>
                    </a:prstGeom>
                    <a:noFill/>
                    <a:ln>
                      <a:noFill/>
                    </a:ln>
                  </pic:spPr>
                </pic:pic>
              </a:graphicData>
            </a:graphic>
          </wp:anchor>
        </w:drawing>
      </w:r>
      <w:r>
        <w:rPr>
          <w:rFonts w:hint="eastAsia"/>
          <w:lang w:val="en-US" w:eastAsia="zh-CN"/>
        </w:rPr>
        <w:t>使用R包DESEQ，用来差异分析人的肿瘤转录组和正常转录组得到的差异基因与细胞周期基因取交集，做火山图以及表达量热图，得到上调的基因有73个，下调的基因有40个。其中我们关注的</w:t>
      </w:r>
      <w:r>
        <w:rPr>
          <w:rFonts w:hint="eastAsia" w:ascii="Times New Roman" w:hAnsi="Times New Roman" w:eastAsia="宋体" w:cs="Times New Roman"/>
          <w:b/>
          <w:bCs/>
          <w:color w:val="FF0000"/>
          <w:sz w:val="24"/>
        </w:rPr>
        <w:t>C</w:t>
      </w:r>
      <w:r>
        <w:rPr>
          <w:rFonts w:ascii="Times New Roman" w:hAnsi="Times New Roman" w:eastAsia="宋体" w:cs="Times New Roman"/>
          <w:b/>
          <w:bCs/>
          <w:color w:val="FF0000"/>
          <w:sz w:val="24"/>
        </w:rPr>
        <w:t>DC20</w:t>
      </w:r>
      <w:r>
        <w:rPr>
          <w:rFonts w:hint="eastAsia"/>
          <w:lang w:val="en-US" w:eastAsia="zh-CN"/>
        </w:rPr>
        <w:t>这个基因为上调基因，它的差异倍数为3.773082。</w:t>
      </w:r>
    </w:p>
    <w:p>
      <w:pPr>
        <w:numPr>
          <w:ilvl w:val="0"/>
          <w:numId w:val="0"/>
        </w:numPr>
        <w:bidi w:val="0"/>
        <w:ind w:leftChars="0"/>
        <w:rPr>
          <w:rFonts w:hint="default"/>
          <w:lang w:val="en-US" w:eastAsia="zh-CN"/>
        </w:rPr>
      </w:pPr>
      <w:r>
        <w:drawing>
          <wp:anchor distT="0" distB="0" distL="114300" distR="114300" simplePos="0" relativeHeight="251660288" behindDoc="0" locked="0" layoutInCell="1" allowOverlap="1">
            <wp:simplePos x="0" y="0"/>
            <wp:positionH relativeFrom="column">
              <wp:posOffset>104775</wp:posOffset>
            </wp:positionH>
            <wp:positionV relativeFrom="paragraph">
              <wp:posOffset>2731770</wp:posOffset>
            </wp:positionV>
            <wp:extent cx="2888615" cy="4121785"/>
            <wp:effectExtent l="0" t="0" r="6985" b="571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888615" cy="4121785"/>
                    </a:xfrm>
                    <a:prstGeom prst="rect">
                      <a:avLst/>
                    </a:prstGeom>
                    <a:noFill/>
                    <a:ln>
                      <a:noFill/>
                    </a:ln>
                  </pic:spPr>
                </pic:pic>
              </a:graphicData>
            </a:graphic>
          </wp:anchor>
        </w:drawing>
      </w:r>
    </w:p>
    <w:p>
      <w:pPr>
        <w:numPr>
          <w:ilvl w:val="0"/>
          <w:numId w:val="2"/>
        </w:numPr>
        <w:rPr>
          <w:rFonts w:hint="default"/>
          <w:lang w:val="en-US" w:eastAsia="zh-CN"/>
        </w:rPr>
      </w:pPr>
      <w:r>
        <w:rPr>
          <w:rFonts w:hint="eastAsia"/>
          <w:lang w:val="en-US" w:eastAsia="zh-CN"/>
        </w:rPr>
        <w:t>使用R包</w:t>
      </w:r>
      <w:r>
        <w:rPr>
          <w:rFonts w:ascii="Times New Roman" w:hAnsi="Times New Roman" w:cs="Times New Roman"/>
          <w:sz w:val="24"/>
        </w:rPr>
        <w:t>clusterProfiler</w:t>
      </w:r>
      <w:r>
        <w:rPr>
          <w:rFonts w:hint="eastAsia"/>
          <w:lang w:val="en-US" w:eastAsia="zh-CN"/>
        </w:rPr>
        <w:t>根据差异基因和周期基因得到的交集基因做GO和KEGG功能富集分析(picture:go_bars.pdf、kegg_bar.pdf)</w:t>
      </w:r>
    </w:p>
    <w:p>
      <w:pPr>
        <w:numPr>
          <w:ilvl w:val="0"/>
          <w:numId w:val="0"/>
        </w:numPr>
      </w:pPr>
      <w:r>
        <w:drawing>
          <wp:inline distT="0" distB="0" distL="114300" distR="114300">
            <wp:extent cx="2759710" cy="4149725"/>
            <wp:effectExtent l="0" t="0" r="889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759710" cy="4149725"/>
                    </a:xfrm>
                    <a:prstGeom prst="rect">
                      <a:avLst/>
                    </a:prstGeom>
                    <a:noFill/>
                    <a:ln>
                      <a:noFill/>
                    </a:ln>
                  </pic:spPr>
                </pic:pic>
              </a:graphicData>
            </a:graphic>
          </wp:inline>
        </w:drawing>
      </w:r>
      <w:r>
        <w:drawing>
          <wp:inline distT="0" distB="0" distL="114300" distR="114300">
            <wp:extent cx="4105275" cy="2042160"/>
            <wp:effectExtent l="0" t="0" r="952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105275" cy="2042160"/>
                    </a:xfrm>
                    <a:prstGeom prst="rect">
                      <a:avLst/>
                    </a:prstGeom>
                    <a:noFill/>
                    <a:ln>
                      <a:noFill/>
                    </a:ln>
                  </pic:spPr>
                </pic:pic>
              </a:graphicData>
            </a:graphic>
          </wp:inline>
        </w:drawing>
      </w:r>
    </w:p>
    <w:p>
      <w:pPr>
        <w:widowControl w:val="0"/>
        <w:numPr>
          <w:ilvl w:val="0"/>
          <w:numId w:val="1"/>
        </w:numPr>
        <w:bidi w:val="0"/>
        <w:ind w:left="0" w:leftChars="0" w:firstLine="0" w:firstLineChars="0"/>
        <w:jc w:val="both"/>
        <w:rPr>
          <w:rFonts w:hint="eastAsia"/>
          <w:lang w:val="en-US" w:eastAsia="zh-CN"/>
        </w:rPr>
      </w:pPr>
      <w:r>
        <w:rPr>
          <w:rFonts w:hint="eastAsia"/>
          <w:lang w:val="en-US" w:eastAsia="zh-CN"/>
        </w:rPr>
        <w:t>单因素COX回归筛选与LUAD患者生存相关的差异表达基因</w:t>
      </w:r>
    </w:p>
    <w:p>
      <w:pPr>
        <w:widowControl w:val="0"/>
        <w:numPr>
          <w:ilvl w:val="0"/>
          <w:numId w:val="0"/>
        </w:numPr>
        <w:bidi w:val="0"/>
        <w:ind w:leftChars="0"/>
        <w:jc w:val="both"/>
        <w:rPr>
          <w:rFonts w:hint="eastAsia"/>
          <w:lang w:val="en-US" w:eastAsia="zh-CN"/>
        </w:rPr>
      </w:pPr>
      <w:r>
        <w:rPr>
          <w:rFonts w:hint="eastAsia"/>
          <w:lang w:val="en-US" w:eastAsia="zh-CN"/>
        </w:rPr>
        <w:t>Data（UniCoxSurvival.csv）</w:t>
      </w:r>
    </w:p>
    <w:p>
      <w:pPr>
        <w:numPr>
          <w:ilvl w:val="0"/>
          <w:numId w:val="3"/>
        </w:numPr>
        <w:ind w:leftChars="0"/>
        <w:rPr>
          <w:rFonts w:hint="eastAsia"/>
          <w:lang w:val="en-US" w:eastAsia="zh-CN"/>
        </w:rPr>
      </w:pPr>
      <w:r>
        <w:rPr>
          <w:rFonts w:hint="eastAsia"/>
          <w:lang w:val="en-US" w:eastAsia="zh-CN"/>
        </w:rPr>
        <w:t>单因素COX回归分析鉴定训练集中差异细胞周期相关基因与生存之间的关系（p值＜0.05）</w:t>
      </w:r>
    </w:p>
    <w:p>
      <w:pPr>
        <w:numPr>
          <w:ilvl w:val="0"/>
          <w:numId w:val="0"/>
        </w:numPr>
        <w:rPr>
          <w:rFonts w:hint="default"/>
          <w:lang w:val="en-US" w:eastAsia="zh-CN"/>
        </w:rPr>
      </w:pPr>
      <w:r>
        <w:rPr>
          <w:rFonts w:hint="eastAsia"/>
          <w:lang w:val="en-US" w:eastAsia="zh-CN"/>
        </w:rPr>
        <w:t>，使用R包survival做单因素COX回归分析，我们找到了25个有趣的基因，其中CDC20也在其中。(picture:UniCoxSurForestPlot.pdf)</w:t>
      </w:r>
    </w:p>
    <w:p>
      <w:pPr>
        <w:numPr>
          <w:ilvl w:val="0"/>
          <w:numId w:val="0"/>
        </w:numPr>
        <w:rPr>
          <w:rFonts w:hint="eastAsia"/>
          <w:lang w:val="en-US" w:eastAsia="zh-CN"/>
        </w:rPr>
      </w:pPr>
    </w:p>
    <w:p>
      <w:pPr>
        <w:numPr>
          <w:ilvl w:val="0"/>
          <w:numId w:val="0"/>
        </w:numPr>
        <w:rPr>
          <w:rFonts w:hint="eastAsia"/>
          <w:lang w:val="en-US" w:eastAsia="zh-CN"/>
        </w:rPr>
      </w:pPr>
      <w:r>
        <w:drawing>
          <wp:inline distT="0" distB="0" distL="114300" distR="114300">
            <wp:extent cx="4838700" cy="8083550"/>
            <wp:effectExtent l="0" t="0" r="0" b="635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8"/>
                    <a:stretch>
                      <a:fillRect/>
                    </a:stretch>
                  </pic:blipFill>
                  <pic:spPr>
                    <a:xfrm>
                      <a:off x="0" y="0"/>
                      <a:ext cx="4838700" cy="8083550"/>
                    </a:xfrm>
                    <a:prstGeom prst="rect">
                      <a:avLst/>
                    </a:prstGeom>
                    <a:noFill/>
                    <a:ln>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1"/>
        </w:numPr>
        <w:ind w:left="0" w:leftChars="0" w:firstLine="0" w:firstLineChars="0"/>
        <w:rPr>
          <w:rFonts w:hint="eastAsia"/>
          <w:lang w:val="en-US" w:eastAsia="zh-CN"/>
        </w:rPr>
      </w:pPr>
      <w:r>
        <w:rPr>
          <w:rFonts w:hint="eastAsia"/>
          <w:lang w:val="en-US" w:eastAsia="zh-CN"/>
        </w:rPr>
        <w:t>LASSO+COX回归建立细胞周期相关基因的预后模型</w:t>
      </w:r>
    </w:p>
    <w:p>
      <w:pPr>
        <w:numPr>
          <w:ilvl w:val="0"/>
          <w:numId w:val="0"/>
        </w:numPr>
        <w:ind w:leftChars="0"/>
        <w:rPr>
          <w:rFonts w:hint="default"/>
          <w:lang w:val="en-US" w:eastAsia="zh-CN"/>
        </w:rPr>
      </w:pPr>
      <w:r>
        <w:rPr>
          <w:rFonts w:hint="eastAsia"/>
          <w:lang w:val="en-US" w:eastAsia="zh-CN"/>
        </w:rPr>
        <w:t>Data（train.csv、gsea_df.csv）</w:t>
      </w:r>
    </w:p>
    <w:p>
      <w:pPr>
        <w:numPr>
          <w:ilvl w:val="0"/>
          <w:numId w:val="4"/>
        </w:numPr>
        <w:rPr>
          <w:rFonts w:hint="eastAsia"/>
          <w:lang w:val="en-US" w:eastAsia="zh-CN"/>
        </w:rPr>
      </w:pPr>
      <w:r>
        <w:rPr>
          <w:rFonts w:hint="eastAsia"/>
          <w:lang w:val="en-US" w:eastAsia="zh-CN"/>
        </w:rPr>
        <w:t>对p值＜0.05的差异细胞周期相关基因做LASSO+COX回归分析，使用R包glmnet对单因素COX回归分析得到的基因，做LASSO+COX回归分析，从结果中我们找到22个有趣的基因，供我们接下来的研究。(picture:lassocox.pdf、lasso_fit.pdf)</w:t>
      </w:r>
    </w:p>
    <w:p>
      <w:pPr>
        <w:numPr>
          <w:ilvl w:val="0"/>
          <w:numId w:val="0"/>
        </w:numPr>
      </w:pPr>
      <w:r>
        <w:drawing>
          <wp:inline distT="0" distB="0" distL="114300" distR="114300">
            <wp:extent cx="5271135" cy="3760470"/>
            <wp:effectExtent l="0" t="0" r="12065" b="1143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271135" cy="3760470"/>
                    </a:xfrm>
                    <a:prstGeom prst="rect">
                      <a:avLst/>
                    </a:prstGeom>
                    <a:noFill/>
                    <a:ln>
                      <a:noFill/>
                    </a:ln>
                  </pic:spPr>
                </pic:pic>
              </a:graphicData>
            </a:graphic>
          </wp:inline>
        </w:drawing>
      </w:r>
    </w:p>
    <w:p>
      <w:pPr>
        <w:numPr>
          <w:ilvl w:val="0"/>
          <w:numId w:val="0"/>
        </w:numPr>
        <w:rPr>
          <w:rFonts w:hint="eastAsia"/>
          <w:lang w:val="en-US" w:eastAsia="zh-CN"/>
        </w:rPr>
      </w:pPr>
      <w:r>
        <w:drawing>
          <wp:inline distT="0" distB="0" distL="114300" distR="114300">
            <wp:extent cx="5272405" cy="3754755"/>
            <wp:effectExtent l="0" t="0" r="10795" b="444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0"/>
                    <a:stretch>
                      <a:fillRect/>
                    </a:stretch>
                  </pic:blipFill>
                  <pic:spPr>
                    <a:xfrm>
                      <a:off x="0" y="0"/>
                      <a:ext cx="5272405" cy="3754755"/>
                    </a:xfrm>
                    <a:prstGeom prst="rect">
                      <a:avLst/>
                    </a:prstGeom>
                    <a:noFill/>
                    <a:ln>
                      <a:noFill/>
                    </a:ln>
                  </pic:spPr>
                </pic:pic>
              </a:graphicData>
            </a:graphic>
          </wp:inline>
        </w:drawing>
      </w:r>
    </w:p>
    <w:p>
      <w:pPr>
        <w:numPr>
          <w:ilvl w:val="0"/>
          <w:numId w:val="4"/>
        </w:numPr>
        <w:rPr>
          <w:rFonts w:hint="default"/>
          <w:lang w:val="en-US" w:eastAsia="zh-CN"/>
        </w:rPr>
      </w:pPr>
      <w:r>
        <w:rPr>
          <w:rFonts w:hint="eastAsia"/>
          <w:lang w:val="en-US" w:eastAsia="zh-CN"/>
        </w:rPr>
        <w:t>细胞周期相关基因预后特征与临床关系</w:t>
      </w:r>
    </w:p>
    <w:p>
      <w:pPr>
        <w:numPr>
          <w:ilvl w:val="0"/>
          <w:numId w:val="0"/>
        </w:numPr>
        <w:ind w:leftChars="0"/>
        <w:rPr>
          <w:rFonts w:hint="default"/>
          <w:lang w:val="en-US" w:eastAsia="zh-CN"/>
        </w:rPr>
      </w:pPr>
      <w:r>
        <w:rPr>
          <w:rFonts w:hint="eastAsia"/>
          <w:lang w:val="en-US" w:eastAsia="zh-CN"/>
        </w:rPr>
        <w:t>我们通过患者的性别以及患者的高低风险以及患者是否患有肿瘤以及患者是否生存，这四个角度描绘了CDC20与的表达状态，发现CDC20的表达与这些表型有潜在的关系(picture:cdc20_gender.pdf、cdc20_normal.pdf、cdc20_sur.pdf)</w:t>
      </w:r>
    </w:p>
    <w:p>
      <w:pPr>
        <w:numPr>
          <w:ilvl w:val="0"/>
          <w:numId w:val="0"/>
        </w:numPr>
      </w:pPr>
      <w:r>
        <w:drawing>
          <wp:inline distT="0" distB="0" distL="114300" distR="114300">
            <wp:extent cx="3606800" cy="3576955"/>
            <wp:effectExtent l="0" t="0" r="0" b="444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1"/>
                    <a:stretch>
                      <a:fillRect/>
                    </a:stretch>
                  </pic:blipFill>
                  <pic:spPr>
                    <a:xfrm>
                      <a:off x="0" y="0"/>
                      <a:ext cx="3606800" cy="3576955"/>
                    </a:xfrm>
                    <a:prstGeom prst="rect">
                      <a:avLst/>
                    </a:prstGeom>
                    <a:noFill/>
                    <a:ln>
                      <a:noFill/>
                    </a:ln>
                  </pic:spPr>
                </pic:pic>
              </a:graphicData>
            </a:graphic>
          </wp:inline>
        </w:drawing>
      </w:r>
    </w:p>
    <w:p>
      <w:pPr>
        <w:numPr>
          <w:ilvl w:val="0"/>
          <w:numId w:val="0"/>
        </w:numPr>
      </w:pPr>
      <w:r>
        <w:drawing>
          <wp:inline distT="0" distB="0" distL="114300" distR="114300">
            <wp:extent cx="3582670" cy="3575685"/>
            <wp:effectExtent l="0" t="0" r="11430" b="571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2"/>
                    <a:stretch>
                      <a:fillRect/>
                    </a:stretch>
                  </pic:blipFill>
                  <pic:spPr>
                    <a:xfrm>
                      <a:off x="0" y="0"/>
                      <a:ext cx="3582670" cy="3575685"/>
                    </a:xfrm>
                    <a:prstGeom prst="rect">
                      <a:avLst/>
                    </a:prstGeom>
                    <a:noFill/>
                    <a:ln>
                      <a:noFill/>
                    </a:ln>
                  </pic:spPr>
                </pic:pic>
              </a:graphicData>
            </a:graphic>
          </wp:inline>
        </w:drawing>
      </w:r>
    </w:p>
    <w:p>
      <w:pPr>
        <w:numPr>
          <w:ilvl w:val="0"/>
          <w:numId w:val="0"/>
        </w:numPr>
      </w:pPr>
    </w:p>
    <w:p>
      <w:pPr>
        <w:numPr>
          <w:ilvl w:val="0"/>
          <w:numId w:val="0"/>
        </w:numPr>
        <w:rPr>
          <w:rFonts w:hint="default"/>
          <w:lang w:val="en-US" w:eastAsia="zh-CN"/>
        </w:rPr>
      </w:pPr>
      <w:r>
        <w:drawing>
          <wp:inline distT="0" distB="0" distL="114300" distR="114300">
            <wp:extent cx="3375660" cy="3375660"/>
            <wp:effectExtent l="0" t="0" r="2540" b="254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13"/>
                    <a:stretch>
                      <a:fillRect/>
                    </a:stretch>
                  </pic:blipFill>
                  <pic:spPr>
                    <a:xfrm>
                      <a:off x="0" y="0"/>
                      <a:ext cx="3375660" cy="3375660"/>
                    </a:xfrm>
                    <a:prstGeom prst="rect">
                      <a:avLst/>
                    </a:prstGeom>
                    <a:noFill/>
                    <a:ln>
                      <a:noFill/>
                    </a:ln>
                  </pic:spPr>
                </pic:pic>
              </a:graphicData>
            </a:graphic>
          </wp:inline>
        </w:drawing>
      </w:r>
    </w:p>
    <w:p>
      <w:pPr>
        <w:widowControl w:val="0"/>
        <w:numPr>
          <w:ilvl w:val="0"/>
          <w:numId w:val="4"/>
        </w:numPr>
        <w:bidi w:val="0"/>
        <w:ind w:left="0" w:leftChars="0" w:firstLine="0" w:firstLineChars="0"/>
        <w:jc w:val="both"/>
        <w:rPr>
          <w:rFonts w:hint="eastAsia"/>
          <w:lang w:val="en-US" w:eastAsia="zh-CN"/>
        </w:rPr>
      </w:pPr>
      <w:r>
        <w:rPr>
          <w:rFonts w:hint="eastAsia"/>
          <w:lang w:val="en-US" w:eastAsia="zh-CN"/>
        </w:rPr>
        <w:t>预后特征中细胞周期相关基因的研究（在高危组和底危组中mRNA的表达水平）(picture:cdc20_risk.pdf)</w:t>
      </w:r>
    </w:p>
    <w:p>
      <w:pPr>
        <w:widowControl w:val="0"/>
        <w:numPr>
          <w:ilvl w:val="0"/>
          <w:numId w:val="0"/>
        </w:numPr>
        <w:bidi w:val="0"/>
        <w:ind w:leftChars="0"/>
        <w:jc w:val="both"/>
      </w:pPr>
      <w:r>
        <w:drawing>
          <wp:inline distT="0" distB="0" distL="114300" distR="114300">
            <wp:extent cx="3279140" cy="3251835"/>
            <wp:effectExtent l="0" t="0" r="10160" b="12065"/>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4"/>
                    <a:stretch>
                      <a:fillRect/>
                    </a:stretch>
                  </pic:blipFill>
                  <pic:spPr>
                    <a:xfrm>
                      <a:off x="0" y="0"/>
                      <a:ext cx="3279140" cy="3251835"/>
                    </a:xfrm>
                    <a:prstGeom prst="rect">
                      <a:avLst/>
                    </a:prstGeom>
                    <a:noFill/>
                    <a:ln>
                      <a:noFill/>
                    </a:ln>
                  </pic:spPr>
                </pic:pic>
              </a:graphicData>
            </a:graphic>
          </wp:inline>
        </w:drawing>
      </w:r>
    </w:p>
    <w:p>
      <w:pPr>
        <w:widowControl w:val="0"/>
        <w:numPr>
          <w:ilvl w:val="0"/>
          <w:numId w:val="4"/>
        </w:numPr>
        <w:bidi w:val="0"/>
        <w:ind w:left="0" w:leftChars="0" w:firstLine="0" w:firstLineChars="0"/>
        <w:jc w:val="both"/>
        <w:rPr>
          <w:rFonts w:hint="eastAsia"/>
          <w:lang w:val="en-US" w:eastAsia="zh-CN"/>
        </w:rPr>
      </w:pPr>
      <w:r>
        <w:rPr>
          <w:rFonts w:hint="eastAsia"/>
          <w:lang w:val="en-US" w:eastAsia="zh-CN"/>
        </w:rPr>
        <w:t>GSEA富集分析高危组和底危组参与的信号通路</w:t>
      </w:r>
    </w:p>
    <w:p>
      <w:pPr>
        <w:numPr>
          <w:ilvl w:val="0"/>
          <w:numId w:val="0"/>
        </w:numPr>
        <w:rPr>
          <w:rFonts w:hint="default"/>
          <w:lang w:val="en-US" w:eastAsia="zh-CN"/>
        </w:rPr>
      </w:pPr>
      <w:r>
        <w:rPr>
          <w:rFonts w:hint="eastAsia"/>
          <w:lang w:val="en-US" w:eastAsia="zh-CN"/>
        </w:rPr>
        <w:t>用差异基因做gsea富集分析，我们以P小于0.05为阈值，找到61调kegg通路，我们画了前5个富集通路。(picture:gsea_rich.pdf)</w:t>
      </w:r>
    </w:p>
    <w:p>
      <w:pPr>
        <w:widowControl w:val="0"/>
        <w:numPr>
          <w:ilvl w:val="0"/>
          <w:numId w:val="0"/>
        </w:numPr>
        <w:bidi w:val="0"/>
        <w:ind w:leftChars="0"/>
        <w:jc w:val="both"/>
        <w:rPr>
          <w:rFonts w:hint="eastAsia"/>
          <w:lang w:val="en-US" w:eastAsia="zh-CN"/>
        </w:rPr>
      </w:pPr>
    </w:p>
    <w:p>
      <w:pPr>
        <w:widowControl w:val="0"/>
        <w:numPr>
          <w:ilvl w:val="0"/>
          <w:numId w:val="0"/>
        </w:numPr>
        <w:bidi w:val="0"/>
        <w:ind w:leftChars="0"/>
        <w:jc w:val="both"/>
      </w:pPr>
      <w:r>
        <w:drawing>
          <wp:inline distT="0" distB="0" distL="114300" distR="114300">
            <wp:extent cx="4345305" cy="4345305"/>
            <wp:effectExtent l="0" t="0" r="10795"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5"/>
                    <a:stretch>
                      <a:fillRect/>
                    </a:stretch>
                  </pic:blipFill>
                  <pic:spPr>
                    <a:xfrm>
                      <a:off x="0" y="0"/>
                      <a:ext cx="4345305" cy="4345305"/>
                    </a:xfrm>
                    <a:prstGeom prst="rect">
                      <a:avLst/>
                    </a:prstGeom>
                    <a:noFill/>
                    <a:ln>
                      <a:noFill/>
                    </a:ln>
                  </pic:spPr>
                </pic:pic>
              </a:graphicData>
            </a:graphic>
          </wp:inline>
        </w:drawing>
      </w:r>
    </w:p>
    <w:p>
      <w:pPr>
        <w:widowControl w:val="0"/>
        <w:numPr>
          <w:ilvl w:val="0"/>
          <w:numId w:val="0"/>
        </w:numPr>
        <w:bidi w:val="0"/>
        <w:ind w:leftChars="0"/>
        <w:jc w:val="both"/>
      </w:pPr>
    </w:p>
    <w:p>
      <w:pPr>
        <w:widowControl w:val="0"/>
        <w:numPr>
          <w:ilvl w:val="0"/>
          <w:numId w:val="4"/>
        </w:numPr>
        <w:bidi w:val="0"/>
        <w:ind w:left="0" w:leftChars="0" w:firstLine="0" w:firstLineChars="0"/>
        <w:jc w:val="both"/>
        <w:rPr>
          <w:rFonts w:hint="eastAsia"/>
          <w:lang w:val="en-US" w:eastAsia="zh-CN"/>
        </w:rPr>
      </w:pPr>
      <w:r>
        <w:rPr>
          <w:rFonts w:hint="eastAsia"/>
          <w:lang w:val="en-US" w:eastAsia="zh-CN"/>
        </w:rPr>
        <w:t>分析预后模型风险评分与免疫浸润水平的相关性</w:t>
      </w:r>
    </w:p>
    <w:p>
      <w:pPr>
        <w:widowControl w:val="0"/>
        <w:numPr>
          <w:ilvl w:val="0"/>
          <w:numId w:val="0"/>
        </w:numPr>
        <w:bidi w:val="0"/>
        <w:ind w:leftChars="0"/>
        <w:jc w:val="both"/>
        <w:rPr>
          <w:rFonts w:hint="default"/>
          <w:lang w:val="en-US" w:eastAsia="zh-CN"/>
        </w:rPr>
      </w:pPr>
      <w:r>
        <w:rPr>
          <w:rFonts w:hint="eastAsia"/>
          <w:lang w:val="en-US" w:eastAsia="zh-CN"/>
        </w:rPr>
        <w:t>高危组和底危组免疫细胞亚群的差异表达(picture:mianyi_cell.pdf)</w:t>
      </w:r>
    </w:p>
    <w:p>
      <w:pPr>
        <w:widowControl w:val="0"/>
        <w:numPr>
          <w:ilvl w:val="0"/>
          <w:numId w:val="0"/>
        </w:numPr>
        <w:bidi w:val="0"/>
        <w:ind w:leftChars="0"/>
        <w:jc w:val="both"/>
        <w:rPr>
          <w:rFonts w:hint="default"/>
          <w:lang w:val="en-US" w:eastAsia="zh-CN"/>
        </w:rPr>
      </w:pPr>
      <w:r>
        <w:drawing>
          <wp:inline distT="0" distB="0" distL="114300" distR="114300">
            <wp:extent cx="4504055" cy="4495800"/>
            <wp:effectExtent l="0" t="0" r="4445" b="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6"/>
                    <a:stretch>
                      <a:fillRect/>
                    </a:stretch>
                  </pic:blipFill>
                  <pic:spPr>
                    <a:xfrm>
                      <a:off x="0" y="0"/>
                      <a:ext cx="4504055" cy="4495800"/>
                    </a:xfrm>
                    <a:prstGeom prst="rect">
                      <a:avLst/>
                    </a:prstGeom>
                    <a:noFill/>
                    <a:ln>
                      <a:noFill/>
                    </a:ln>
                  </pic:spPr>
                </pic:pic>
              </a:graphicData>
            </a:graphic>
          </wp:inline>
        </w:drawing>
      </w:r>
    </w:p>
    <w:p>
      <w:pPr>
        <w:widowControl w:val="0"/>
        <w:numPr>
          <w:ilvl w:val="0"/>
          <w:numId w:val="0"/>
        </w:numPr>
        <w:bidi w:val="0"/>
        <w:ind w:leftChars="0"/>
        <w:jc w:val="both"/>
        <w:rPr>
          <w:rFonts w:hint="default" w:ascii="Times New Roman" w:hAnsi="Times New Roman" w:cs="Times New Roman"/>
          <w:color w:val="000000" w:themeColor="text1"/>
          <w:sz w:val="24"/>
          <w:lang w:val="en-US" w:eastAsia="zh-CN"/>
          <w14:textFill>
            <w14:solidFill>
              <w14:schemeClr w14:val="tx1"/>
            </w14:solidFill>
          </w14:textFill>
        </w:rPr>
      </w:pPr>
      <w:r>
        <w:rPr>
          <w:rFonts w:hint="eastAsia" w:ascii="Times New Roman" w:hAnsi="Times New Roman" w:cs="Times New Roman"/>
          <w:sz w:val="24"/>
        </w:rPr>
        <w:t>在训练集中，用</w:t>
      </w:r>
      <w:bookmarkStart w:id="0" w:name="OLE_LINK7"/>
      <w:r>
        <w:rPr>
          <w:rFonts w:hint="eastAsia" w:ascii="Times New Roman" w:hAnsi="Times New Roman" w:cs="Times New Roman"/>
          <w:color w:val="000000" w:themeColor="text1"/>
          <w:sz w:val="24"/>
          <w14:textFill>
            <w14:solidFill>
              <w14:schemeClr w14:val="tx1"/>
            </w14:solidFill>
          </w14:textFill>
        </w:rPr>
        <w:t>Spearman相关性</w:t>
      </w:r>
      <w:bookmarkEnd w:id="0"/>
      <w:r>
        <w:rPr>
          <w:rFonts w:hint="eastAsia" w:ascii="Times New Roman" w:hAnsi="Times New Roman" w:cs="Times New Roman"/>
          <w:color w:val="000000" w:themeColor="text1"/>
          <w:sz w:val="24"/>
          <w14:textFill>
            <w14:solidFill>
              <w14:schemeClr w14:val="tx1"/>
            </w14:solidFill>
          </w14:textFill>
        </w:rPr>
        <w:t>分析风险评分和差异免疫细胞浸润水平之间的相关性</w:t>
      </w:r>
      <w:r>
        <w:rPr>
          <w:rFonts w:hint="eastAsia" w:ascii="Times New Roman" w:hAnsi="Times New Roman" w:cs="Times New Roman"/>
          <w:color w:val="000000" w:themeColor="text1"/>
          <w:sz w:val="24"/>
          <w:lang w:eastAsia="zh-CN"/>
          <w14:textFill>
            <w14:solidFill>
              <w14:schemeClr w14:val="tx1"/>
            </w14:solidFill>
          </w14:textFill>
        </w:rPr>
        <w:t>。</w:t>
      </w:r>
      <w:r>
        <w:rPr>
          <w:rFonts w:hint="eastAsia" w:ascii="Times New Roman" w:hAnsi="Times New Roman" w:cs="Times New Roman"/>
          <w:color w:val="000000" w:themeColor="text1"/>
          <w:sz w:val="24"/>
          <w:lang w:val="en-US" w:eastAsia="zh-CN"/>
          <w14:textFill>
            <w14:solidFill>
              <w14:schemeClr w14:val="tx1"/>
            </w14:solidFill>
          </w14:textFill>
        </w:rPr>
        <w:t>我们富集到三类免疫细胞，与风险评分做相关性分析，发现风险评分与免疫细胞Type 2 T helper cell相关性最高，达到0.29。(picture:mianyin_cell1.pdf、mianyin_cell2.pdf、mianyin_cell3.pdf)</w:t>
      </w:r>
    </w:p>
    <w:p>
      <w:pPr>
        <w:widowControl w:val="0"/>
        <w:numPr>
          <w:ilvl w:val="0"/>
          <w:numId w:val="0"/>
        </w:numPr>
        <w:bidi w:val="0"/>
        <w:ind w:leftChars="0"/>
        <w:jc w:val="both"/>
      </w:pPr>
      <w:r>
        <w:drawing>
          <wp:inline distT="0" distB="0" distL="114300" distR="114300">
            <wp:extent cx="5273040" cy="5238750"/>
            <wp:effectExtent l="0" t="0" r="10160" b="635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7"/>
                    <a:stretch>
                      <a:fillRect/>
                    </a:stretch>
                  </pic:blipFill>
                  <pic:spPr>
                    <a:xfrm>
                      <a:off x="0" y="0"/>
                      <a:ext cx="5273040" cy="5238750"/>
                    </a:xfrm>
                    <a:prstGeom prst="rect">
                      <a:avLst/>
                    </a:prstGeom>
                    <a:noFill/>
                    <a:ln>
                      <a:noFill/>
                    </a:ln>
                  </pic:spPr>
                </pic:pic>
              </a:graphicData>
            </a:graphic>
          </wp:inline>
        </w:drawing>
      </w:r>
      <w:r>
        <w:drawing>
          <wp:inline distT="0" distB="0" distL="114300" distR="114300">
            <wp:extent cx="5271135" cy="5256530"/>
            <wp:effectExtent l="0" t="0" r="12065" b="127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18"/>
                    <a:stretch>
                      <a:fillRect/>
                    </a:stretch>
                  </pic:blipFill>
                  <pic:spPr>
                    <a:xfrm>
                      <a:off x="0" y="0"/>
                      <a:ext cx="5271135" cy="5256530"/>
                    </a:xfrm>
                    <a:prstGeom prst="rect">
                      <a:avLst/>
                    </a:prstGeom>
                    <a:noFill/>
                    <a:ln>
                      <a:noFill/>
                    </a:ln>
                  </pic:spPr>
                </pic:pic>
              </a:graphicData>
            </a:graphic>
          </wp:inline>
        </w:drawing>
      </w:r>
      <w:r>
        <w:drawing>
          <wp:inline distT="0" distB="0" distL="114300" distR="114300">
            <wp:extent cx="5267960" cy="5253355"/>
            <wp:effectExtent l="0" t="0" r="2540" b="444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19"/>
                    <a:stretch>
                      <a:fillRect/>
                    </a:stretch>
                  </pic:blipFill>
                  <pic:spPr>
                    <a:xfrm>
                      <a:off x="0" y="0"/>
                      <a:ext cx="5267960" cy="5253355"/>
                    </a:xfrm>
                    <a:prstGeom prst="rect">
                      <a:avLst/>
                    </a:prstGeom>
                    <a:noFill/>
                    <a:ln>
                      <a:noFill/>
                    </a:ln>
                  </pic:spPr>
                </pic:pic>
              </a:graphicData>
            </a:graphic>
          </wp:inline>
        </w:drawing>
      </w:r>
    </w:p>
    <w:p>
      <w:pPr>
        <w:widowControl w:val="0"/>
        <w:numPr>
          <w:ilvl w:val="0"/>
          <w:numId w:val="0"/>
        </w:numPr>
        <w:bidi w:val="0"/>
        <w:ind w:leftChars="0"/>
        <w:jc w:val="both"/>
        <w:rPr>
          <w:rFonts w:hint="default" w:ascii="Times New Roman" w:hAnsi="Times New Roman" w:cs="Times New Roman"/>
          <w:color w:val="000000" w:themeColor="text1"/>
          <w:sz w:val="24"/>
          <w:lang w:val="en-US" w:eastAsia="zh-CN"/>
          <w14:textFill>
            <w14:solidFill>
              <w14:schemeClr w14:val="tx1"/>
            </w14:solidFill>
          </w14:textFill>
        </w:rPr>
      </w:pPr>
      <w:r>
        <w:rPr>
          <w:rFonts w:hint="eastAsia" w:ascii="Times New Roman" w:hAnsi="Times New Roman" w:cs="Times New Roman"/>
          <w:color w:val="000000" w:themeColor="text1"/>
          <w:sz w:val="24"/>
          <w:lang w:val="en-US" w:eastAsia="zh-CN"/>
          <w14:textFill>
            <w14:solidFill>
              <w14:schemeClr w14:val="tx1"/>
            </w14:solidFill>
          </w14:textFill>
        </w:rPr>
        <w:t>Kaplan-Meier生存分析高危和低危组之间相关性高的差异免疫细胞与预后的相关性，但是P值只有Memory B cell满足条件(picture:mianyi_KM1.pdf、mianyi_KM2.pdf、mianyi_KM3.pdf)</w:t>
      </w:r>
    </w:p>
    <w:p>
      <w:pPr>
        <w:widowControl w:val="0"/>
        <w:numPr>
          <w:ilvl w:val="0"/>
          <w:numId w:val="0"/>
        </w:numPr>
        <w:bidi w:val="0"/>
        <w:ind w:leftChars="0"/>
        <w:jc w:val="both"/>
      </w:pPr>
      <w:r>
        <w:drawing>
          <wp:inline distT="0" distB="0" distL="114300" distR="114300">
            <wp:extent cx="5270500" cy="4489450"/>
            <wp:effectExtent l="0" t="0" r="0" b="635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0"/>
                    <a:stretch>
                      <a:fillRect/>
                    </a:stretch>
                  </pic:blipFill>
                  <pic:spPr>
                    <a:xfrm>
                      <a:off x="0" y="0"/>
                      <a:ext cx="5270500" cy="4489450"/>
                    </a:xfrm>
                    <a:prstGeom prst="rect">
                      <a:avLst/>
                    </a:prstGeom>
                    <a:noFill/>
                    <a:ln>
                      <a:noFill/>
                    </a:ln>
                  </pic:spPr>
                </pic:pic>
              </a:graphicData>
            </a:graphic>
          </wp:inline>
        </w:drawing>
      </w:r>
    </w:p>
    <w:p>
      <w:pPr>
        <w:widowControl w:val="0"/>
        <w:numPr>
          <w:ilvl w:val="0"/>
          <w:numId w:val="0"/>
        </w:numPr>
        <w:bidi w:val="0"/>
        <w:ind w:leftChars="0"/>
        <w:jc w:val="both"/>
      </w:pPr>
      <w:r>
        <w:drawing>
          <wp:inline distT="0" distB="0" distL="114300" distR="114300">
            <wp:extent cx="5267960" cy="4528820"/>
            <wp:effectExtent l="0" t="0" r="2540" b="508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1"/>
                    <a:stretch>
                      <a:fillRect/>
                    </a:stretch>
                  </pic:blipFill>
                  <pic:spPr>
                    <a:xfrm>
                      <a:off x="0" y="0"/>
                      <a:ext cx="5267960" cy="4528820"/>
                    </a:xfrm>
                    <a:prstGeom prst="rect">
                      <a:avLst/>
                    </a:prstGeom>
                    <a:noFill/>
                    <a:ln>
                      <a:noFill/>
                    </a:ln>
                  </pic:spPr>
                </pic:pic>
              </a:graphicData>
            </a:graphic>
          </wp:inline>
        </w:drawing>
      </w:r>
    </w:p>
    <w:p>
      <w:pPr>
        <w:widowControl w:val="0"/>
        <w:numPr>
          <w:ilvl w:val="0"/>
          <w:numId w:val="0"/>
        </w:numPr>
        <w:bidi w:val="0"/>
        <w:ind w:leftChars="0"/>
        <w:jc w:val="both"/>
        <w:rPr>
          <w:rFonts w:hint="eastAsia"/>
          <w:lang w:val="en-US" w:eastAsia="zh-CN"/>
        </w:rPr>
      </w:pPr>
      <w:r>
        <w:drawing>
          <wp:inline distT="0" distB="0" distL="114300" distR="114300">
            <wp:extent cx="5267960" cy="4516120"/>
            <wp:effectExtent l="0" t="0" r="2540" b="508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2"/>
                    <a:stretch>
                      <a:fillRect/>
                    </a:stretch>
                  </pic:blipFill>
                  <pic:spPr>
                    <a:xfrm>
                      <a:off x="0" y="0"/>
                      <a:ext cx="5267960" cy="4516120"/>
                    </a:xfrm>
                    <a:prstGeom prst="rect">
                      <a:avLst/>
                    </a:prstGeom>
                    <a:noFill/>
                    <a:ln>
                      <a:noFill/>
                    </a:ln>
                  </pic:spPr>
                </pic:pic>
              </a:graphicData>
            </a:graphic>
          </wp:inline>
        </w:drawing>
      </w:r>
    </w:p>
    <w:p>
      <w:pPr>
        <w:numPr>
          <w:ilvl w:val="0"/>
          <w:numId w:val="0"/>
        </w:numPr>
        <w:ind w:leftChars="0"/>
        <w:rPr>
          <w:rFonts w:hint="default"/>
          <w:lang w:val="en-US" w:eastAsia="zh-CN"/>
        </w:rPr>
      </w:pPr>
      <w:r>
        <w:rPr>
          <w:rFonts w:hint="eastAsia"/>
          <w:lang w:val="en-US" w:eastAsia="zh-CN"/>
        </w:rPr>
        <w:t>6、通过多因素Cox回归分析，评估预后模型与年龄、性别、组织学分、病理分期和TNM分期等常见的临床因素(picture:snm_mutil_cox.pdf)</w:t>
      </w:r>
    </w:p>
    <w:p>
      <w:pPr>
        <w:widowControl w:val="0"/>
        <w:numPr>
          <w:ilvl w:val="0"/>
          <w:numId w:val="0"/>
        </w:numPr>
        <w:bidi w:val="0"/>
        <w:ind w:leftChars="0"/>
        <w:jc w:val="both"/>
        <w:rPr>
          <w:rFonts w:hint="eastAsia" w:eastAsiaTheme="minorEastAsia"/>
          <w:lang w:val="en-US" w:eastAsia="zh-CN"/>
        </w:rPr>
      </w:pPr>
      <w:r>
        <w:drawing>
          <wp:inline distT="0" distB="0" distL="114300" distR="114300">
            <wp:extent cx="5270500" cy="3930650"/>
            <wp:effectExtent l="0" t="0" r="0" b="635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23"/>
                    <a:stretch>
                      <a:fillRect/>
                    </a:stretch>
                  </pic:blipFill>
                  <pic:spPr>
                    <a:xfrm>
                      <a:off x="0" y="0"/>
                      <a:ext cx="5270500" cy="3930650"/>
                    </a:xfrm>
                    <a:prstGeom prst="rect">
                      <a:avLst/>
                    </a:prstGeom>
                    <a:noFill/>
                    <a:ln>
                      <a:noFill/>
                    </a:ln>
                  </pic:spPr>
                </pic:pic>
              </a:graphicData>
            </a:graphic>
          </wp:inline>
        </w:drawing>
      </w:r>
    </w:p>
    <w:p>
      <w:pPr>
        <w:widowControl w:val="0"/>
        <w:numPr>
          <w:ilvl w:val="0"/>
          <w:numId w:val="1"/>
        </w:numPr>
        <w:bidi w:val="0"/>
        <w:ind w:left="0" w:leftChars="0" w:firstLine="0" w:firstLineChars="0"/>
        <w:jc w:val="both"/>
        <w:rPr>
          <w:rFonts w:hint="eastAsia"/>
          <w:lang w:val="en-US" w:eastAsia="zh-CN"/>
        </w:rPr>
      </w:pPr>
      <w:r>
        <w:rPr>
          <w:rFonts w:hint="eastAsia"/>
          <w:lang w:val="en-US" w:eastAsia="zh-CN"/>
        </w:rPr>
        <w:t>基于预后模型进行风险评分，将患者分为底危组和高危组。</w:t>
      </w:r>
    </w:p>
    <w:p>
      <w:pPr>
        <w:widowControl w:val="0"/>
        <w:numPr>
          <w:ilvl w:val="0"/>
          <w:numId w:val="0"/>
        </w:numPr>
        <w:bidi w:val="0"/>
        <w:ind w:leftChars="0"/>
        <w:jc w:val="both"/>
        <w:rPr>
          <w:rFonts w:hint="eastAsia"/>
          <w:lang w:val="en-US" w:eastAsia="zh-CN"/>
        </w:rPr>
      </w:pPr>
      <w:r>
        <w:rPr>
          <w:rFonts w:hint="eastAsia"/>
          <w:lang w:val="en-US" w:eastAsia="zh-CN"/>
        </w:rPr>
        <w:t>基于预后模型进行风险评分，将患者分为高危组和底危组,我们根据LASSO+COX找到的22个有趣的基因做了生存分析，发现高风险患者CDC20的表达要高于低风险患者。低风险患者生存状况更好。但是AUC曲线分析没有得到好的结果。</w:t>
      </w:r>
    </w:p>
    <w:p>
      <w:pPr>
        <w:widowControl w:val="0"/>
        <w:numPr>
          <w:ilvl w:val="0"/>
          <w:numId w:val="0"/>
        </w:numPr>
        <w:bidi w:val="0"/>
        <w:ind w:leftChars="0"/>
        <w:jc w:val="both"/>
        <w:rPr>
          <w:rFonts w:hint="default"/>
          <w:lang w:val="en-US" w:eastAsia="zh-CN"/>
        </w:rPr>
      </w:pPr>
      <w:r>
        <w:rPr>
          <w:rFonts w:hint="eastAsia"/>
          <w:lang w:val="en-US" w:eastAsia="zh-CN"/>
        </w:rPr>
        <w:t>Data（train.csv）(picture:risk_all.pdf)</w:t>
      </w:r>
    </w:p>
    <w:p>
      <w:pPr>
        <w:widowControl w:val="0"/>
        <w:numPr>
          <w:ilvl w:val="0"/>
          <w:numId w:val="0"/>
        </w:numPr>
        <w:bidi w:val="0"/>
        <w:ind w:leftChars="0"/>
        <w:jc w:val="both"/>
      </w:pPr>
      <w:r>
        <w:drawing>
          <wp:inline distT="0" distB="0" distL="114300" distR="114300">
            <wp:extent cx="4076700" cy="8128000"/>
            <wp:effectExtent l="0" t="0" r="0" b="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4"/>
                    <a:stretch>
                      <a:fillRect/>
                    </a:stretch>
                  </pic:blipFill>
                  <pic:spPr>
                    <a:xfrm>
                      <a:off x="0" y="0"/>
                      <a:ext cx="4076700" cy="8128000"/>
                    </a:xfrm>
                    <a:prstGeom prst="rect">
                      <a:avLst/>
                    </a:prstGeom>
                    <a:noFill/>
                    <a:ln>
                      <a:noFill/>
                    </a:ln>
                  </pic:spPr>
                </pic:pic>
              </a:graphicData>
            </a:graphic>
          </wp:inline>
        </w:drawing>
      </w:r>
    </w:p>
    <w:p>
      <w:pPr>
        <w:widowControl w:val="0"/>
        <w:numPr>
          <w:ilvl w:val="0"/>
          <w:numId w:val="0"/>
        </w:numPr>
        <w:bidi w:val="0"/>
        <w:ind w:leftChars="0"/>
        <w:jc w:val="both"/>
      </w:pPr>
    </w:p>
    <w:p>
      <w:pPr>
        <w:widowControl w:val="0"/>
        <w:numPr>
          <w:ilvl w:val="0"/>
          <w:numId w:val="0"/>
        </w:numPr>
        <w:bidi w:val="0"/>
        <w:ind w:leftChars="0"/>
        <w:jc w:val="both"/>
      </w:pPr>
    </w:p>
    <w:p>
      <w:pPr>
        <w:widowControl w:val="0"/>
        <w:numPr>
          <w:ilvl w:val="0"/>
          <w:numId w:val="0"/>
        </w:numPr>
        <w:bidi w:val="0"/>
        <w:ind w:leftChars="0"/>
        <w:jc w:val="both"/>
        <w:rPr>
          <w:rFonts w:hint="default" w:eastAsiaTheme="minorEastAsia"/>
          <w:lang w:val="en-US" w:eastAsia="zh-CN"/>
        </w:rPr>
      </w:pPr>
      <w:r>
        <w:rPr>
          <w:rFonts w:hint="eastAsia"/>
          <w:lang w:val="en-US" w:eastAsia="zh-CN"/>
        </w:rPr>
        <w:t>六、KM和ROC曲线分析两组的评估预后特征(picture:train_KM.pdf、train_ROC.pdf)</w:t>
      </w:r>
    </w:p>
    <w:p>
      <w:pPr>
        <w:widowControl w:val="0"/>
        <w:numPr>
          <w:ilvl w:val="0"/>
          <w:numId w:val="0"/>
        </w:numPr>
        <w:bidi w:val="0"/>
        <w:ind w:leftChars="0"/>
        <w:jc w:val="both"/>
      </w:pPr>
    </w:p>
    <w:p>
      <w:pPr>
        <w:widowControl w:val="0"/>
        <w:numPr>
          <w:ilvl w:val="0"/>
          <w:numId w:val="0"/>
        </w:numPr>
        <w:bidi w:val="0"/>
        <w:ind w:leftChars="0"/>
        <w:jc w:val="both"/>
      </w:pPr>
    </w:p>
    <w:p>
      <w:pPr>
        <w:widowControl w:val="0"/>
        <w:numPr>
          <w:ilvl w:val="0"/>
          <w:numId w:val="0"/>
        </w:numPr>
        <w:bidi w:val="0"/>
        <w:ind w:leftChars="0"/>
        <w:jc w:val="both"/>
      </w:pPr>
      <w:r>
        <w:drawing>
          <wp:inline distT="0" distB="0" distL="114300" distR="114300">
            <wp:extent cx="5268595" cy="4487545"/>
            <wp:effectExtent l="0" t="0" r="1905" b="825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25"/>
                    <a:stretch>
                      <a:fillRect/>
                    </a:stretch>
                  </pic:blipFill>
                  <pic:spPr>
                    <a:xfrm>
                      <a:off x="0" y="0"/>
                      <a:ext cx="5268595" cy="4487545"/>
                    </a:xfrm>
                    <a:prstGeom prst="rect">
                      <a:avLst/>
                    </a:prstGeom>
                    <a:noFill/>
                    <a:ln>
                      <a:noFill/>
                    </a:ln>
                  </pic:spPr>
                </pic:pic>
              </a:graphicData>
            </a:graphic>
          </wp:inline>
        </w:drawing>
      </w:r>
    </w:p>
    <w:p>
      <w:pPr>
        <w:widowControl w:val="0"/>
        <w:numPr>
          <w:ilvl w:val="0"/>
          <w:numId w:val="0"/>
        </w:numPr>
        <w:bidi w:val="0"/>
        <w:ind w:leftChars="0"/>
        <w:jc w:val="both"/>
      </w:pPr>
      <w:r>
        <w:drawing>
          <wp:inline distT="0" distB="0" distL="114300" distR="114300">
            <wp:extent cx="5268595" cy="5257800"/>
            <wp:effectExtent l="0" t="0" r="1905" b="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26"/>
                    <a:stretch>
                      <a:fillRect/>
                    </a:stretch>
                  </pic:blipFill>
                  <pic:spPr>
                    <a:xfrm>
                      <a:off x="0" y="0"/>
                      <a:ext cx="5268595" cy="5257800"/>
                    </a:xfrm>
                    <a:prstGeom prst="rect">
                      <a:avLst/>
                    </a:prstGeom>
                    <a:noFill/>
                    <a:ln>
                      <a:noFill/>
                    </a:ln>
                  </pic:spPr>
                </pic:pic>
              </a:graphicData>
            </a:graphic>
          </wp:inline>
        </w:drawing>
      </w:r>
    </w:p>
    <w:p>
      <w:pPr>
        <w:widowControl w:val="0"/>
        <w:numPr>
          <w:ilvl w:val="0"/>
          <w:numId w:val="0"/>
        </w:numPr>
        <w:bidi w:val="0"/>
        <w:ind w:leftChars="0"/>
        <w:jc w:val="both"/>
        <w:rPr>
          <w:rFonts w:hint="default"/>
          <w:lang w:val="en-US" w:eastAsia="zh-CN"/>
        </w:rPr>
      </w:pPr>
      <w:r>
        <w:rPr>
          <w:rFonts w:hint="eastAsia"/>
          <w:lang w:val="en-US" w:eastAsia="zh-CN"/>
        </w:rPr>
        <w:t>七、构建列线图评估患者1-5年的生存率(picture:liexiantu.pdf、jiaozhun1.pdf、jiaozhun2.pdf、jiaozhun3.pdf)</w:t>
      </w:r>
    </w:p>
    <w:p>
      <w:pPr>
        <w:widowControl w:val="0"/>
        <w:numPr>
          <w:ilvl w:val="0"/>
          <w:numId w:val="0"/>
        </w:numPr>
        <w:bidi w:val="0"/>
        <w:ind w:leftChars="0"/>
        <w:jc w:val="both"/>
      </w:pPr>
      <w:r>
        <w:drawing>
          <wp:inline distT="0" distB="0" distL="114300" distR="114300">
            <wp:extent cx="5267960" cy="3248660"/>
            <wp:effectExtent l="0" t="0" r="2540" b="2540"/>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27"/>
                    <a:stretch>
                      <a:fillRect/>
                    </a:stretch>
                  </pic:blipFill>
                  <pic:spPr>
                    <a:xfrm>
                      <a:off x="0" y="0"/>
                      <a:ext cx="5267960" cy="3248660"/>
                    </a:xfrm>
                    <a:prstGeom prst="rect">
                      <a:avLst/>
                    </a:prstGeom>
                    <a:noFill/>
                    <a:ln>
                      <a:noFill/>
                    </a:ln>
                  </pic:spPr>
                </pic:pic>
              </a:graphicData>
            </a:graphic>
          </wp:inline>
        </w:drawing>
      </w:r>
    </w:p>
    <w:p>
      <w:pPr>
        <w:widowControl w:val="0"/>
        <w:numPr>
          <w:ilvl w:val="0"/>
          <w:numId w:val="0"/>
        </w:numPr>
        <w:bidi w:val="0"/>
        <w:ind w:leftChars="0"/>
        <w:jc w:val="both"/>
      </w:pPr>
      <w:r>
        <w:drawing>
          <wp:inline distT="0" distB="0" distL="114300" distR="114300">
            <wp:extent cx="5273675" cy="5268595"/>
            <wp:effectExtent l="0" t="0" r="9525" b="1905"/>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28"/>
                    <a:stretch>
                      <a:fillRect/>
                    </a:stretch>
                  </pic:blipFill>
                  <pic:spPr>
                    <a:xfrm>
                      <a:off x="0" y="0"/>
                      <a:ext cx="5273675" cy="5268595"/>
                    </a:xfrm>
                    <a:prstGeom prst="rect">
                      <a:avLst/>
                    </a:prstGeom>
                    <a:noFill/>
                    <a:ln>
                      <a:noFill/>
                    </a:ln>
                  </pic:spPr>
                </pic:pic>
              </a:graphicData>
            </a:graphic>
          </wp:inline>
        </w:drawing>
      </w:r>
    </w:p>
    <w:p>
      <w:pPr>
        <w:widowControl w:val="0"/>
        <w:numPr>
          <w:ilvl w:val="0"/>
          <w:numId w:val="0"/>
        </w:numPr>
        <w:bidi w:val="0"/>
        <w:ind w:leftChars="0"/>
        <w:jc w:val="both"/>
      </w:pPr>
      <w:r>
        <w:drawing>
          <wp:inline distT="0" distB="0" distL="114300" distR="114300">
            <wp:extent cx="5271770" cy="5271770"/>
            <wp:effectExtent l="0" t="0" r="11430" b="11430"/>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29"/>
                    <a:stretch>
                      <a:fillRect/>
                    </a:stretch>
                  </pic:blipFill>
                  <pic:spPr>
                    <a:xfrm>
                      <a:off x="0" y="0"/>
                      <a:ext cx="5271770" cy="5271770"/>
                    </a:xfrm>
                    <a:prstGeom prst="rect">
                      <a:avLst/>
                    </a:prstGeom>
                    <a:noFill/>
                    <a:ln>
                      <a:noFill/>
                    </a:ln>
                  </pic:spPr>
                </pic:pic>
              </a:graphicData>
            </a:graphic>
          </wp:inline>
        </w:drawing>
      </w:r>
    </w:p>
    <w:p>
      <w:pPr>
        <w:widowControl w:val="0"/>
        <w:numPr>
          <w:ilvl w:val="0"/>
          <w:numId w:val="0"/>
        </w:numPr>
        <w:bidi w:val="0"/>
        <w:ind w:leftChars="0"/>
        <w:jc w:val="both"/>
      </w:pPr>
      <w:r>
        <w:drawing>
          <wp:inline distT="0" distB="0" distL="114300" distR="114300">
            <wp:extent cx="5273040" cy="5243195"/>
            <wp:effectExtent l="0" t="0" r="10160" b="1905"/>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0"/>
                    <pic:cNvPicPr>
                      <a:picLocks noChangeAspect="1"/>
                    </pic:cNvPicPr>
                  </pic:nvPicPr>
                  <pic:blipFill>
                    <a:blip r:embed="rId30"/>
                    <a:stretch>
                      <a:fillRect/>
                    </a:stretch>
                  </pic:blipFill>
                  <pic:spPr>
                    <a:xfrm>
                      <a:off x="0" y="0"/>
                      <a:ext cx="5273040" cy="5243195"/>
                    </a:xfrm>
                    <a:prstGeom prst="rect">
                      <a:avLst/>
                    </a:prstGeom>
                    <a:noFill/>
                    <a:ln>
                      <a:noFill/>
                    </a:ln>
                  </pic:spPr>
                </pic:pic>
              </a:graphicData>
            </a:graphic>
          </wp:inline>
        </w:drawing>
      </w:r>
    </w:p>
    <w:p>
      <w:pPr>
        <w:widowControl w:val="0"/>
        <w:numPr>
          <w:ilvl w:val="0"/>
          <w:numId w:val="5"/>
        </w:numPr>
        <w:bidi w:val="0"/>
        <w:ind w:leftChars="0"/>
        <w:jc w:val="both"/>
        <w:rPr>
          <w:rFonts w:hint="eastAsia"/>
          <w:lang w:val="en-US" w:eastAsia="zh-CN"/>
        </w:rPr>
      </w:pPr>
      <w:r>
        <w:rPr>
          <w:rFonts w:hint="eastAsia"/>
          <w:lang w:val="en-US" w:eastAsia="zh-CN"/>
        </w:rPr>
        <w:t>验证集进行验证</w:t>
      </w:r>
    </w:p>
    <w:p>
      <w:pPr>
        <w:widowControl w:val="0"/>
        <w:numPr>
          <w:ilvl w:val="0"/>
          <w:numId w:val="0"/>
        </w:numPr>
        <w:bidi w:val="0"/>
        <w:jc w:val="both"/>
        <w:rPr>
          <w:rFonts w:hint="default"/>
          <w:lang w:val="en-US" w:eastAsia="zh-CN"/>
        </w:rPr>
      </w:pPr>
      <w:r>
        <w:rPr>
          <w:rFonts w:hint="eastAsia"/>
          <w:lang w:val="en-US" w:eastAsia="zh-CN"/>
        </w:rPr>
        <w:t>Data（07.expr_GSE68465.txt、08.survival_GSE68465.txt）(picture:test_risk_all.pdf、test_KM.pdf、test_ROC.pdf)</w:t>
      </w:r>
      <w:bookmarkStart w:id="1" w:name="_GoBack"/>
      <w:bookmarkEnd w:id="1"/>
    </w:p>
    <w:p>
      <w:pPr>
        <w:widowControl w:val="0"/>
        <w:numPr>
          <w:ilvl w:val="0"/>
          <w:numId w:val="0"/>
        </w:numPr>
        <w:bidi w:val="0"/>
        <w:ind w:leftChars="0"/>
        <w:jc w:val="both"/>
        <w:rPr>
          <w:rFonts w:hint="default"/>
          <w:lang w:val="en-US" w:eastAsia="zh-CN"/>
        </w:rPr>
      </w:pPr>
      <w:r>
        <w:drawing>
          <wp:inline distT="0" distB="0" distL="114300" distR="114300">
            <wp:extent cx="4070350" cy="8134350"/>
            <wp:effectExtent l="0" t="0" r="6350" b="635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1"/>
                    <a:stretch>
                      <a:fillRect/>
                    </a:stretch>
                  </pic:blipFill>
                  <pic:spPr>
                    <a:xfrm>
                      <a:off x="0" y="0"/>
                      <a:ext cx="4070350" cy="8134350"/>
                    </a:xfrm>
                    <a:prstGeom prst="rect">
                      <a:avLst/>
                    </a:prstGeom>
                    <a:noFill/>
                    <a:ln>
                      <a:noFill/>
                    </a:ln>
                  </pic:spPr>
                </pic:pic>
              </a:graphicData>
            </a:graphic>
          </wp:inline>
        </w:drawing>
      </w:r>
      <w:r>
        <w:drawing>
          <wp:inline distT="0" distB="0" distL="114300" distR="114300">
            <wp:extent cx="5271770" cy="4491355"/>
            <wp:effectExtent l="0" t="0" r="11430" b="444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32"/>
                    <a:stretch>
                      <a:fillRect/>
                    </a:stretch>
                  </pic:blipFill>
                  <pic:spPr>
                    <a:xfrm>
                      <a:off x="0" y="0"/>
                      <a:ext cx="5271770" cy="4491355"/>
                    </a:xfrm>
                    <a:prstGeom prst="rect">
                      <a:avLst/>
                    </a:prstGeom>
                    <a:noFill/>
                    <a:ln>
                      <a:noFill/>
                    </a:ln>
                  </pic:spPr>
                </pic:pic>
              </a:graphicData>
            </a:graphic>
          </wp:inline>
        </w:drawing>
      </w:r>
      <w:r>
        <w:drawing>
          <wp:inline distT="0" distB="0" distL="114300" distR="114300">
            <wp:extent cx="4756150" cy="4775200"/>
            <wp:effectExtent l="0" t="0" r="635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33"/>
                    <a:stretch>
                      <a:fillRect/>
                    </a:stretch>
                  </pic:blipFill>
                  <pic:spPr>
                    <a:xfrm>
                      <a:off x="0" y="0"/>
                      <a:ext cx="4756150" cy="477520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B1866A"/>
    <w:multiLevelType w:val="singleLevel"/>
    <w:tmpl w:val="B5B1866A"/>
    <w:lvl w:ilvl="0" w:tentative="0">
      <w:start w:val="2"/>
      <w:numFmt w:val="decimal"/>
      <w:suff w:val="nothing"/>
      <w:lvlText w:val="%1、"/>
      <w:lvlJc w:val="left"/>
    </w:lvl>
  </w:abstractNum>
  <w:abstractNum w:abstractNumId="1">
    <w:nsid w:val="072DBD66"/>
    <w:multiLevelType w:val="singleLevel"/>
    <w:tmpl w:val="072DBD66"/>
    <w:lvl w:ilvl="0" w:tentative="0">
      <w:start w:val="1"/>
      <w:numFmt w:val="decimal"/>
      <w:suff w:val="nothing"/>
      <w:lvlText w:val="%1、"/>
      <w:lvlJc w:val="left"/>
    </w:lvl>
  </w:abstractNum>
  <w:abstractNum w:abstractNumId="2">
    <w:nsid w:val="1E25D544"/>
    <w:multiLevelType w:val="singleLevel"/>
    <w:tmpl w:val="1E25D544"/>
    <w:lvl w:ilvl="0" w:tentative="0">
      <w:start w:val="1"/>
      <w:numFmt w:val="decimal"/>
      <w:suff w:val="nothing"/>
      <w:lvlText w:val="%1、"/>
      <w:lvlJc w:val="left"/>
    </w:lvl>
  </w:abstractNum>
  <w:abstractNum w:abstractNumId="3">
    <w:nsid w:val="39AC4D46"/>
    <w:multiLevelType w:val="singleLevel"/>
    <w:tmpl w:val="39AC4D46"/>
    <w:lvl w:ilvl="0" w:tentative="0">
      <w:start w:val="1"/>
      <w:numFmt w:val="chineseCounting"/>
      <w:suff w:val="nothing"/>
      <w:lvlText w:val="%1、"/>
      <w:lvlJc w:val="left"/>
      <w:rPr>
        <w:rFonts w:hint="eastAsia"/>
      </w:rPr>
    </w:lvl>
  </w:abstractNum>
  <w:abstractNum w:abstractNumId="4">
    <w:nsid w:val="724E7D21"/>
    <w:multiLevelType w:val="singleLevel"/>
    <w:tmpl w:val="724E7D21"/>
    <w:lvl w:ilvl="0" w:tentative="0">
      <w:start w:val="8"/>
      <w:numFmt w:val="chineseCounting"/>
      <w:suff w:val="nothing"/>
      <w:lvlText w:val="%1、"/>
      <w:lvlJc w:val="left"/>
      <w:rPr>
        <w:rFonts w:hint="eastAsia"/>
      </w:r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mQyMDNlN2E1Yzk1MTk1MDVjYTViNDExZWI3ZjY0MjcifQ=="/>
  </w:docVars>
  <w:rsids>
    <w:rsidRoot w:val="2CA15FB0"/>
    <w:rsid w:val="2A046780"/>
    <w:rsid w:val="2CA15FB0"/>
    <w:rsid w:val="47B03091"/>
    <w:rsid w:val="4827075D"/>
    <w:rsid w:val="4DF536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24</Pages>
  <Words>999</Words>
  <Characters>1565</Characters>
  <Lines>0</Lines>
  <Paragraphs>0</Paragraphs>
  <TotalTime>19</TotalTime>
  <ScaleCrop>false</ScaleCrop>
  <LinksUpToDate>false</LinksUpToDate>
  <CharactersWithSpaces>1571</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2023-07-18T02:34:00Z</dcterms:created>
  <dc:creator>peng</dc:creator>
  <cp:lastModifiedBy>peng</cp:lastModifiedBy>
  <dcterms:modified xsi:type="dcterms:W3CDTF">2023-07-18T11:15:29Z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7D39F41100F446F38F73F78BC776CA30_11</vt:lpwstr>
  </property>
</Properties>
</file>