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BC288" w14:textId="5BECBAC9" w:rsidR="006F1174" w:rsidRPr="006F1174" w:rsidRDefault="006F1174" w:rsidP="006F1174">
      <w:pPr>
        <w:widowControl/>
        <w:spacing w:before="100" w:beforeAutospacing="1" w:after="100" w:afterAutospacing="1"/>
        <w:jc w:val="left"/>
        <w:outlineLvl w:val="0"/>
        <w:rPr>
          <w:rFonts w:ascii="Arial" w:eastAsia="SimSun" w:hAnsi="Arial" w:cs="Arial"/>
          <w:b/>
          <w:bCs/>
          <w:color w:val="000000"/>
          <w:kern w:val="36"/>
          <w:sz w:val="48"/>
          <w:szCs w:val="48"/>
        </w:rPr>
      </w:pPr>
      <w:r w:rsidRPr="006F1174">
        <w:rPr>
          <w:rFonts w:ascii="Arial" w:eastAsia="SimSun" w:hAnsi="Arial" w:cs="Arial"/>
          <w:b/>
          <w:bCs/>
          <w:color w:val="000000"/>
          <w:kern w:val="36"/>
          <w:sz w:val="48"/>
          <w:szCs w:val="48"/>
        </w:rPr>
        <w:t>Project Proposal (Revised)</w:t>
      </w:r>
    </w:p>
    <w:p w14:paraId="71A2C055" w14:textId="77777777" w:rsidR="006F1174" w:rsidRPr="006F1174" w:rsidRDefault="006F1174" w:rsidP="006F1174">
      <w:pPr>
        <w:widowControl/>
        <w:spacing w:before="100" w:beforeAutospacing="1" w:after="100" w:afterAutospacing="1"/>
        <w:jc w:val="left"/>
        <w:outlineLvl w:val="1"/>
        <w:rPr>
          <w:rFonts w:ascii="Arial" w:eastAsia="SimSun" w:hAnsi="Arial" w:cs="Arial"/>
          <w:b/>
          <w:bCs/>
          <w:color w:val="000000"/>
          <w:kern w:val="0"/>
          <w:sz w:val="36"/>
          <w:szCs w:val="36"/>
        </w:rPr>
      </w:pPr>
      <w:r w:rsidRPr="006F1174">
        <w:rPr>
          <w:rFonts w:ascii="Arial" w:eastAsia="SimSun" w:hAnsi="Arial" w:cs="Arial"/>
          <w:b/>
          <w:bCs/>
          <w:color w:val="000000"/>
          <w:kern w:val="0"/>
          <w:sz w:val="36"/>
          <w:szCs w:val="36"/>
        </w:rPr>
        <w:t>1. Client and Decision Context (Real-World Setting)</w:t>
      </w:r>
    </w:p>
    <w:p w14:paraId="0BB9706C" w14:textId="77777777" w:rsidR="006F1174" w:rsidRPr="006F1174" w:rsidRDefault="006F1174" w:rsidP="006F1174">
      <w:pPr>
        <w:widowControl/>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We consider an upstream oil and gas producer as the primary client of this project. Upstream firms undertake capital-intensive and partially irreversible investment decisions in exploration and field development projects. These decisions typically involve substantial upfront expenditures and multi-year production lifecycles. As a result, long-term oil price expectations play a central role in determining project feasibility and investment timing.</w:t>
      </w:r>
    </w:p>
    <w:p w14:paraId="641A9628" w14:textId="77777777" w:rsidR="006F1174" w:rsidRPr="006F1174" w:rsidRDefault="006F1174" w:rsidP="006F1174">
      <w:pPr>
        <w:widowControl/>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Oil price forecasts enter directly into discounted cash flow (DCF) models used to evaluate prospective projects. Forecasted future prices determine projected revenues, which in turn affect net present value (NPV), internal rate of return (IRR), and final investment decisions (FID). Because upstream projects often require several years between capital commitment and production, firms rely on multi-year price projections rather than short-term forecasts.</w:t>
      </w:r>
    </w:p>
    <w:p w14:paraId="617322BE" w14:textId="6C4987D4" w:rsidR="006F1174" w:rsidRPr="007B52AD" w:rsidRDefault="006F1174" w:rsidP="007B52AD">
      <w:pPr>
        <w:widowControl/>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Systematic forecast errors may have material consequences. Persistently optimistic projections can lead to overinvestment during high-price regimes, followed by asset impairments if realized prices fall short. Conversely, pessimistic forecasts may delay or cancel projects that would have been profitable. Therefore, evaluating the reliability and bias of long-term oil price forecasts is directly relevant to capital allocation efficiency and long-run firm performance.</w:t>
      </w:r>
    </w:p>
    <w:p w14:paraId="1908B28F" w14:textId="77777777" w:rsidR="006F1174" w:rsidRPr="006F1174" w:rsidRDefault="006F1174" w:rsidP="006F1174">
      <w:pPr>
        <w:widowControl/>
        <w:spacing w:before="100" w:beforeAutospacing="1" w:after="100" w:afterAutospacing="1"/>
        <w:jc w:val="left"/>
        <w:outlineLvl w:val="1"/>
        <w:rPr>
          <w:rFonts w:ascii="Arial" w:eastAsia="SimSun" w:hAnsi="Arial" w:cs="Arial"/>
          <w:b/>
          <w:bCs/>
          <w:color w:val="000000"/>
          <w:kern w:val="0"/>
          <w:sz w:val="36"/>
          <w:szCs w:val="36"/>
        </w:rPr>
      </w:pPr>
      <w:r w:rsidRPr="006F1174">
        <w:rPr>
          <w:rFonts w:ascii="Arial" w:eastAsia="SimSun" w:hAnsi="Arial" w:cs="Arial"/>
          <w:b/>
          <w:bCs/>
          <w:color w:val="000000"/>
          <w:kern w:val="0"/>
          <w:sz w:val="36"/>
          <w:szCs w:val="36"/>
        </w:rPr>
        <w:t>2. Definition of Long-Term Forecast Horizon</w:t>
      </w:r>
    </w:p>
    <w:p w14:paraId="7DB6E220" w14:textId="77777777" w:rsidR="006F1174" w:rsidRPr="006F1174" w:rsidRDefault="006F1174" w:rsidP="006F1174">
      <w:pPr>
        <w:widowControl/>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In this project, “long-term” forecasts are defined as three-year-ahead and five-year-ahead projections of annual average oil prices.</w:t>
      </w:r>
    </w:p>
    <w:p w14:paraId="6C0DDF15" w14:textId="33774B59" w:rsidR="006F1174" w:rsidRPr="006F1174" w:rsidRDefault="006F1174" w:rsidP="006F1174">
      <w:pPr>
        <w:widowControl/>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 xml:space="preserve">This horizon aligns with upstream capital planning cycles. While some large-scale projects extend beyond five years, many drilling and development programs require multi-year planning </w:t>
      </w:r>
      <w:r w:rsidR="007B52AD">
        <w:rPr>
          <w:rFonts w:ascii="Arial" w:eastAsia="SimSun" w:hAnsi="Arial" w:cs="Arial" w:hint="eastAsia"/>
          <w:color w:val="000000"/>
          <w:kern w:val="0"/>
          <w:sz w:val="24"/>
        </w:rPr>
        <w:t>before</w:t>
      </w:r>
      <w:r w:rsidR="007B52AD">
        <w:rPr>
          <w:rFonts w:ascii="Arial" w:eastAsia="SimSun" w:hAnsi="Arial" w:cs="Arial"/>
          <w:color w:val="000000"/>
          <w:kern w:val="0"/>
          <w:sz w:val="24"/>
        </w:rPr>
        <w:t xml:space="preserve"> </w:t>
      </w:r>
      <w:r w:rsidRPr="006F1174">
        <w:rPr>
          <w:rFonts w:ascii="Arial" w:eastAsia="SimSun" w:hAnsi="Arial" w:cs="Arial"/>
          <w:color w:val="000000"/>
          <w:kern w:val="0"/>
          <w:sz w:val="24"/>
        </w:rPr>
        <w:t>production. The 3–</w:t>
      </w:r>
      <w:proofErr w:type="gramStart"/>
      <w:r w:rsidRPr="006F1174">
        <w:rPr>
          <w:rFonts w:ascii="Arial" w:eastAsia="SimSun" w:hAnsi="Arial" w:cs="Arial"/>
          <w:color w:val="000000"/>
          <w:kern w:val="0"/>
          <w:sz w:val="24"/>
        </w:rPr>
        <w:t>5 year</w:t>
      </w:r>
      <w:proofErr w:type="gramEnd"/>
      <w:r w:rsidRPr="006F1174">
        <w:rPr>
          <w:rFonts w:ascii="Arial" w:eastAsia="SimSun" w:hAnsi="Arial" w:cs="Arial"/>
          <w:color w:val="000000"/>
          <w:kern w:val="0"/>
          <w:sz w:val="24"/>
        </w:rPr>
        <w:t xml:space="preserve"> window captures the period during which investment commitments are made and capital expenditures become partially irreversible.</w:t>
      </w:r>
    </w:p>
    <w:p w14:paraId="47D92A1D" w14:textId="6995164B" w:rsidR="006F1174" w:rsidRPr="007B52AD" w:rsidRDefault="006F1174" w:rsidP="007B52AD">
      <w:pPr>
        <w:widowControl/>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At the same time, this horizon remains feasible in terms of historical forecast availability and allows for meaningful out-of-sample evaluation.</w:t>
      </w:r>
    </w:p>
    <w:p w14:paraId="71317053" w14:textId="77777777" w:rsidR="006F1174" w:rsidRPr="006F1174" w:rsidRDefault="006F1174" w:rsidP="006F1174">
      <w:pPr>
        <w:widowControl/>
        <w:spacing w:before="100" w:beforeAutospacing="1" w:after="100" w:afterAutospacing="1"/>
        <w:jc w:val="left"/>
        <w:outlineLvl w:val="1"/>
        <w:rPr>
          <w:rFonts w:ascii="Arial" w:eastAsia="SimSun" w:hAnsi="Arial" w:cs="Arial"/>
          <w:b/>
          <w:bCs/>
          <w:color w:val="000000"/>
          <w:kern w:val="0"/>
          <w:sz w:val="36"/>
          <w:szCs w:val="36"/>
        </w:rPr>
      </w:pPr>
      <w:r w:rsidRPr="006F1174">
        <w:rPr>
          <w:rFonts w:ascii="Arial" w:eastAsia="SimSun" w:hAnsi="Arial" w:cs="Arial"/>
          <w:b/>
          <w:bCs/>
          <w:color w:val="000000"/>
          <w:kern w:val="0"/>
          <w:sz w:val="36"/>
          <w:szCs w:val="36"/>
        </w:rPr>
        <w:lastRenderedPageBreak/>
        <w:t>3. Forecast Objects: Price Definition, Providers, and Format</w:t>
      </w:r>
    </w:p>
    <w:p w14:paraId="10AF1F89" w14:textId="77777777" w:rsidR="006F1174" w:rsidRPr="006F1174" w:rsidRDefault="006F1174" w:rsidP="006F1174">
      <w:pPr>
        <w:widowControl/>
        <w:spacing w:before="100" w:beforeAutospacing="1" w:after="100" w:afterAutospacing="1"/>
        <w:jc w:val="left"/>
        <w:outlineLvl w:val="2"/>
        <w:rPr>
          <w:rFonts w:ascii="Arial" w:eastAsia="SimSun" w:hAnsi="Arial" w:cs="Arial"/>
          <w:b/>
          <w:bCs/>
          <w:color w:val="000000"/>
          <w:kern w:val="0"/>
          <w:sz w:val="27"/>
          <w:szCs w:val="27"/>
        </w:rPr>
      </w:pPr>
      <w:r w:rsidRPr="006F1174">
        <w:rPr>
          <w:rFonts w:ascii="Arial" w:eastAsia="SimSun" w:hAnsi="Arial" w:cs="Arial"/>
          <w:b/>
          <w:bCs/>
          <w:color w:val="000000"/>
          <w:kern w:val="0"/>
          <w:sz w:val="27"/>
          <w:szCs w:val="27"/>
        </w:rPr>
        <w:t>Price Definition</w:t>
      </w:r>
    </w:p>
    <w:p w14:paraId="29597628" w14:textId="55827DBA" w:rsidR="006F1174" w:rsidRPr="006F1174" w:rsidRDefault="006F1174" w:rsidP="006F1174">
      <w:pPr>
        <w:widowControl/>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The object of evaluation is the annual average Brent crude oil spot price, measured in</w:t>
      </w:r>
      <w:r w:rsidR="004A37F5" w:rsidRPr="004A37F5">
        <w:rPr>
          <w:rFonts w:ascii="Helvetica Neue" w:hAnsi="Helvetica Neue" w:cs="Helvetica Neue"/>
          <w:color w:val="3F3F3F"/>
          <w:kern w:val="0"/>
          <w:sz w:val="26"/>
          <w:szCs w:val="26"/>
        </w:rPr>
        <w:t xml:space="preserve"> </w:t>
      </w:r>
      <w:r w:rsidR="004A37F5" w:rsidRPr="004A37F5">
        <w:rPr>
          <w:rFonts w:ascii="Arial" w:eastAsia="SimSun" w:hAnsi="Arial" w:cs="Arial"/>
          <w:color w:val="000000"/>
          <w:kern w:val="0"/>
          <w:sz w:val="24"/>
        </w:rPr>
        <w:t>real U.S. dollars per barrel.</w:t>
      </w:r>
    </w:p>
    <w:p w14:paraId="45998326" w14:textId="179DF3FD" w:rsidR="006F1174" w:rsidRPr="007B52AD" w:rsidRDefault="006F1174" w:rsidP="007B52AD">
      <w:pPr>
        <w:widowControl/>
        <w:spacing w:before="100" w:beforeAutospacing="1" w:after="100" w:afterAutospacing="1"/>
        <w:jc w:val="left"/>
        <w:rPr>
          <w:rFonts w:ascii="Arial" w:eastAsia="SimSun" w:hAnsi="Arial" w:cs="Arial"/>
          <w:strike/>
          <w:color w:val="000000"/>
          <w:kern w:val="0"/>
          <w:sz w:val="24"/>
        </w:rPr>
      </w:pPr>
      <w:r w:rsidRPr="006F1174">
        <w:rPr>
          <w:rFonts w:ascii="Arial" w:eastAsia="SimSun" w:hAnsi="Arial" w:cs="Arial"/>
          <w:color w:val="000000"/>
          <w:kern w:val="0"/>
          <w:sz w:val="24"/>
        </w:rPr>
        <w:t>Brent is widely recognized as the global benchmark crude oil price and is commonly referenced in institutional outlook reports. Using annual averages ensures consistency with upstream investment models, which rely on annual revenue projections in DCF analysis.</w:t>
      </w:r>
    </w:p>
    <w:p w14:paraId="2D4914EF" w14:textId="77777777" w:rsidR="006F1174" w:rsidRPr="006F1174" w:rsidRDefault="006F1174" w:rsidP="006F1174">
      <w:pPr>
        <w:widowControl/>
        <w:spacing w:before="100" w:beforeAutospacing="1" w:after="100" w:afterAutospacing="1"/>
        <w:jc w:val="left"/>
        <w:outlineLvl w:val="2"/>
        <w:rPr>
          <w:rFonts w:ascii="Arial" w:eastAsia="SimSun" w:hAnsi="Arial" w:cs="Arial"/>
          <w:b/>
          <w:bCs/>
          <w:color w:val="000000"/>
          <w:kern w:val="0"/>
          <w:sz w:val="27"/>
          <w:szCs w:val="27"/>
        </w:rPr>
      </w:pPr>
      <w:r w:rsidRPr="006F1174">
        <w:rPr>
          <w:rFonts w:ascii="Arial" w:eastAsia="SimSun" w:hAnsi="Arial" w:cs="Arial"/>
          <w:b/>
          <w:bCs/>
          <w:color w:val="000000"/>
          <w:kern w:val="0"/>
          <w:sz w:val="27"/>
          <w:szCs w:val="27"/>
        </w:rPr>
        <w:t>Forecast Providers</w:t>
      </w:r>
    </w:p>
    <w:p w14:paraId="67B4DD47" w14:textId="3AAE5447" w:rsidR="006F1174" w:rsidRPr="006F1174" w:rsidRDefault="006F1174" w:rsidP="006F1174">
      <w:pPr>
        <w:widowControl/>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 xml:space="preserve">We focus on </w:t>
      </w:r>
      <w:r w:rsidR="007B52AD">
        <w:rPr>
          <w:rFonts w:ascii="Arial" w:eastAsia="SimSun" w:hAnsi="Arial" w:cs="Arial"/>
          <w:color w:val="000000"/>
          <w:kern w:val="0"/>
          <w:sz w:val="24"/>
        </w:rPr>
        <w:t>those</w:t>
      </w:r>
      <w:r w:rsidRPr="006F1174">
        <w:rPr>
          <w:rFonts w:ascii="Arial" w:eastAsia="SimSun" w:hAnsi="Arial" w:cs="Arial"/>
          <w:color w:val="000000"/>
          <w:kern w:val="0"/>
          <w:sz w:val="24"/>
        </w:rPr>
        <w:t xml:space="preserve"> major institutional providers whose forecasts are publicly documented and historically accessible:</w:t>
      </w:r>
    </w:p>
    <w:p w14:paraId="2099DF6F" w14:textId="77777777" w:rsidR="006F1174" w:rsidRPr="006F1174" w:rsidRDefault="006F1174" w:rsidP="006F1174">
      <w:pPr>
        <w:widowControl/>
        <w:numPr>
          <w:ilvl w:val="0"/>
          <w:numId w:val="1"/>
        </w:numPr>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U.S. Energy Information Administration (EIA)</w:t>
      </w:r>
    </w:p>
    <w:p w14:paraId="4A1D7BB7" w14:textId="77777777" w:rsidR="006F1174" w:rsidRPr="006F1174" w:rsidRDefault="006F1174" w:rsidP="006F1174">
      <w:pPr>
        <w:widowControl/>
        <w:numPr>
          <w:ilvl w:val="0"/>
          <w:numId w:val="1"/>
        </w:numPr>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International Energy Agency (IEA)</w:t>
      </w:r>
    </w:p>
    <w:p w14:paraId="682005E0" w14:textId="77777777" w:rsidR="006F1174" w:rsidRPr="006F1174" w:rsidRDefault="006F1174" w:rsidP="006F1174">
      <w:pPr>
        <w:widowControl/>
        <w:numPr>
          <w:ilvl w:val="0"/>
          <w:numId w:val="1"/>
        </w:numPr>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World Bank</w:t>
      </w:r>
    </w:p>
    <w:p w14:paraId="04011E19" w14:textId="5626D69E" w:rsidR="006F1174" w:rsidRPr="007B52AD" w:rsidRDefault="006F1174" w:rsidP="007B52AD">
      <w:pPr>
        <w:widowControl/>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Limiting the number of providers ensures comparability and feasibility while allowing cross-institution analysis of systematic bias.</w:t>
      </w:r>
    </w:p>
    <w:p w14:paraId="39EC5304" w14:textId="77777777" w:rsidR="006F1174" w:rsidRPr="006F1174" w:rsidRDefault="006F1174" w:rsidP="006F1174">
      <w:pPr>
        <w:widowControl/>
        <w:spacing w:before="100" w:beforeAutospacing="1" w:after="100" w:afterAutospacing="1"/>
        <w:jc w:val="left"/>
        <w:outlineLvl w:val="2"/>
        <w:rPr>
          <w:rFonts w:ascii="Arial" w:eastAsia="SimSun" w:hAnsi="Arial" w:cs="Arial"/>
          <w:b/>
          <w:bCs/>
          <w:color w:val="000000"/>
          <w:kern w:val="0"/>
          <w:sz w:val="27"/>
          <w:szCs w:val="27"/>
        </w:rPr>
      </w:pPr>
      <w:r w:rsidRPr="006F1174">
        <w:rPr>
          <w:rFonts w:ascii="Arial" w:eastAsia="SimSun" w:hAnsi="Arial" w:cs="Arial"/>
          <w:b/>
          <w:bCs/>
          <w:color w:val="000000"/>
          <w:kern w:val="0"/>
          <w:sz w:val="27"/>
          <w:szCs w:val="27"/>
        </w:rPr>
        <w:t>Forecast Format</w:t>
      </w:r>
    </w:p>
    <w:p w14:paraId="3A398131" w14:textId="77777777" w:rsidR="006F1174" w:rsidRPr="006F1174" w:rsidRDefault="006F1174" w:rsidP="006F1174">
      <w:pPr>
        <w:widowControl/>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To ensure comparability across institutions, we restrict attention to baseline point forecasts rather than scenario-based or interval projections.</w:t>
      </w:r>
    </w:p>
    <w:p w14:paraId="4B1E0C3E" w14:textId="20E66BAD" w:rsidR="006F1174" w:rsidRPr="006F1174" w:rsidRDefault="006F1174" w:rsidP="006F1174">
      <w:pPr>
        <w:widowControl/>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Point forecasts allow consistent computation of forecast error metrics and avoid subjective scenario selection. For each publication year (vintage year), we extract projections for the annual average Brent price in years</w:t>
      </w:r>
      <w:r w:rsidR="007B52AD">
        <w:rPr>
          <w:rFonts w:ascii="Arial" w:eastAsia="SimSun" w:hAnsi="Arial" w:cs="Arial"/>
          <w:color w:val="000000"/>
          <w:kern w:val="0"/>
          <w:sz w:val="24"/>
        </w:rPr>
        <w:t xml:space="preserve"> t+3 and t+5.</w:t>
      </w:r>
    </w:p>
    <w:p w14:paraId="58CBE323" w14:textId="0011680C" w:rsidR="006F1174" w:rsidRPr="007B52AD" w:rsidRDefault="006F1174" w:rsidP="007B52AD">
      <w:pPr>
        <w:widowControl/>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Each forecast will be aligned by vintage, ensuring that evaluation reflects information available at the time the forecast was issued.</w:t>
      </w:r>
    </w:p>
    <w:p w14:paraId="20D59E51" w14:textId="77777777" w:rsidR="006F1174" w:rsidRPr="006F1174" w:rsidRDefault="006F1174" w:rsidP="006F1174">
      <w:pPr>
        <w:widowControl/>
        <w:spacing w:before="100" w:beforeAutospacing="1" w:after="100" w:afterAutospacing="1"/>
        <w:jc w:val="left"/>
        <w:outlineLvl w:val="1"/>
        <w:rPr>
          <w:rFonts w:ascii="Arial" w:eastAsia="SimSun" w:hAnsi="Arial" w:cs="Arial"/>
          <w:b/>
          <w:bCs/>
          <w:color w:val="000000"/>
          <w:kern w:val="0"/>
          <w:sz w:val="36"/>
          <w:szCs w:val="36"/>
        </w:rPr>
      </w:pPr>
      <w:r w:rsidRPr="006F1174">
        <w:rPr>
          <w:rFonts w:ascii="Arial" w:eastAsia="SimSun" w:hAnsi="Arial" w:cs="Arial"/>
          <w:b/>
          <w:bCs/>
          <w:color w:val="000000"/>
          <w:kern w:val="0"/>
          <w:sz w:val="36"/>
          <w:szCs w:val="36"/>
        </w:rPr>
        <w:t>4. Evaluation Design</w:t>
      </w:r>
    </w:p>
    <w:p w14:paraId="3E2752C8" w14:textId="77777777" w:rsidR="006F1174" w:rsidRPr="006F1174" w:rsidRDefault="006F1174" w:rsidP="006F1174">
      <w:pPr>
        <w:widowControl/>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For each vintage year </w:t>
      </w:r>
      <m:oMath>
        <m:r>
          <w:rPr>
            <w:rFonts w:ascii="Cambria Math" w:eastAsia="SimSun" w:hAnsi="Cambria Math" w:cs="Arial"/>
            <w:kern w:val="0"/>
            <w:sz w:val="24"/>
          </w:rPr>
          <m:t>t</m:t>
        </m:r>
      </m:oMath>
      <w:r w:rsidRPr="006F1174">
        <w:rPr>
          <w:rFonts w:ascii="Arial" w:eastAsia="SimSun" w:hAnsi="Arial" w:cs="Arial"/>
          <w:color w:val="000000"/>
          <w:kern w:val="0"/>
          <w:sz w:val="24"/>
        </w:rPr>
        <w:t> and horizon </w:t>
      </w:r>
      <m:oMath>
        <m:r>
          <w:rPr>
            <w:rFonts w:ascii="Cambria Math" w:eastAsia="SimSun" w:hAnsi="Cambria Math" w:cs="Arial"/>
            <w:kern w:val="0"/>
            <w:sz w:val="24"/>
          </w:rPr>
          <m:t>s∈{3,5}</m:t>
        </m:r>
      </m:oMath>
      <w:r w:rsidRPr="006F1174">
        <w:rPr>
          <w:rFonts w:ascii="Arial" w:eastAsia="SimSun" w:hAnsi="Arial" w:cs="Arial"/>
          <w:color w:val="000000"/>
          <w:kern w:val="0"/>
          <w:sz w:val="24"/>
        </w:rPr>
        <w:t>, forecast error is defined as:</w:t>
      </w:r>
    </w:p>
    <w:p w14:paraId="059F95D5" w14:textId="77777777" w:rsidR="006F1174" w:rsidRPr="006F1174" w:rsidRDefault="00000000" w:rsidP="006F1174">
      <w:pPr>
        <w:widowControl/>
        <w:jc w:val="left"/>
        <w:rPr>
          <w:rFonts w:ascii="Arial" w:eastAsia="SimSun" w:hAnsi="Arial" w:cs="Arial"/>
          <w:kern w:val="0"/>
          <w:sz w:val="24"/>
        </w:rPr>
      </w:pPr>
      <m:oMathPara>
        <m:oMath>
          <m:sSub>
            <m:sSubPr>
              <m:ctrlPr>
                <w:rPr>
                  <w:rFonts w:ascii="Cambria Math" w:eastAsia="SimSun" w:hAnsi="Cambria Math" w:cs="Arial"/>
                  <w:kern w:val="0"/>
                  <w:sz w:val="24"/>
                </w:rPr>
              </m:ctrlPr>
            </m:sSubPr>
            <m:e>
              <m:r>
                <w:rPr>
                  <w:rFonts w:ascii="Cambria Math" w:eastAsia="SimSun" w:hAnsi="Cambria Math" w:cs="Arial"/>
                  <w:kern w:val="0"/>
                  <w:sz w:val="24"/>
                </w:rPr>
                <m:t>e</m:t>
              </m:r>
            </m:e>
            <m:sub>
              <m:r>
                <w:rPr>
                  <w:rFonts w:ascii="Cambria Math" w:eastAsia="SimSun" w:hAnsi="Cambria Math" w:cs="Arial"/>
                  <w:kern w:val="0"/>
                  <w:sz w:val="24"/>
                </w:rPr>
                <m:t>t,s</m:t>
              </m:r>
            </m:sub>
          </m:sSub>
          <m:r>
            <w:rPr>
              <w:rFonts w:ascii="Cambria Math" w:eastAsia="SimSun" w:hAnsi="Cambria Math" w:cs="Arial"/>
              <w:kern w:val="0"/>
              <w:sz w:val="24"/>
            </w:rPr>
            <m:t>=</m:t>
          </m:r>
          <m:sSub>
            <m:sSubPr>
              <m:ctrlPr>
                <w:rPr>
                  <w:rFonts w:ascii="Cambria Math" w:eastAsia="SimSun" w:hAnsi="Cambria Math" w:cs="Arial"/>
                  <w:kern w:val="0"/>
                  <w:sz w:val="24"/>
                </w:rPr>
              </m:ctrlPr>
            </m:sSubPr>
            <m:e>
              <m:acc>
                <m:accPr>
                  <m:ctrlPr>
                    <w:rPr>
                      <w:rFonts w:ascii="Cambria Math" w:eastAsia="SimSun" w:hAnsi="Cambria Math" w:cs="Arial"/>
                      <w:kern w:val="0"/>
                      <w:sz w:val="24"/>
                    </w:rPr>
                  </m:ctrlPr>
                </m:accPr>
                <m:e>
                  <m:r>
                    <w:rPr>
                      <w:rFonts w:ascii="Cambria Math" w:eastAsia="SimSun" w:hAnsi="Cambria Math" w:cs="Arial"/>
                      <w:kern w:val="0"/>
                      <w:sz w:val="24"/>
                    </w:rPr>
                    <m:t>P</m:t>
                  </m:r>
                </m:e>
              </m:acc>
            </m:e>
            <m:sub>
              <m:r>
                <w:rPr>
                  <w:rFonts w:ascii="Cambria Math" w:eastAsia="SimSun" w:hAnsi="Cambria Math" w:cs="Arial"/>
                  <w:kern w:val="0"/>
                  <w:sz w:val="24"/>
                </w:rPr>
                <m:t>t,t+s</m:t>
              </m:r>
            </m:sub>
          </m:sSub>
          <m:r>
            <w:rPr>
              <w:rFonts w:ascii="Cambria Math" w:eastAsia="SimSun" w:hAnsi="Cambria Math" w:cs="Arial"/>
              <w:kern w:val="0"/>
              <w:sz w:val="24"/>
            </w:rPr>
            <m:t>-</m:t>
          </m:r>
          <m:sSub>
            <m:sSubPr>
              <m:ctrlPr>
                <w:rPr>
                  <w:rFonts w:ascii="Cambria Math" w:eastAsia="SimSun" w:hAnsi="Cambria Math" w:cs="Arial"/>
                  <w:kern w:val="0"/>
                  <w:sz w:val="24"/>
                </w:rPr>
              </m:ctrlPr>
            </m:sSubPr>
            <m:e>
              <m:r>
                <w:rPr>
                  <w:rFonts w:ascii="Cambria Math" w:eastAsia="SimSun" w:hAnsi="Cambria Math" w:cs="Arial"/>
                  <w:kern w:val="0"/>
                  <w:sz w:val="24"/>
                </w:rPr>
                <m:t>P</m:t>
              </m:r>
            </m:e>
            <m:sub>
              <m:r>
                <w:rPr>
                  <w:rFonts w:ascii="Cambria Math" w:eastAsia="SimSun" w:hAnsi="Cambria Math" w:cs="Arial"/>
                  <w:kern w:val="0"/>
                  <w:sz w:val="24"/>
                </w:rPr>
                <m:t>t+s</m:t>
              </m:r>
            </m:sub>
          </m:sSub>
          <m:r>
            <m:rPr>
              <m:sty m:val="p"/>
            </m:rPr>
            <w:rPr>
              <w:rFonts w:ascii="Arial" w:eastAsia="SimSun" w:hAnsi="Arial" w:cs="Arial"/>
              <w:kern w:val="0"/>
              <w:sz w:val="24"/>
            </w:rPr>
            <w:br/>
          </m:r>
        </m:oMath>
      </m:oMathPara>
    </w:p>
    <w:p w14:paraId="5643B151" w14:textId="77777777" w:rsidR="006F1174" w:rsidRPr="006F1174" w:rsidRDefault="006F1174" w:rsidP="006F1174">
      <w:pPr>
        <w:widowControl/>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where </w:t>
      </w:r>
      <m:oMath>
        <m:sSub>
          <m:sSubPr>
            <m:ctrlPr>
              <w:rPr>
                <w:rFonts w:ascii="Cambria Math" w:eastAsia="SimSun" w:hAnsi="Cambria Math" w:cs="Arial"/>
                <w:kern w:val="0"/>
                <w:sz w:val="24"/>
              </w:rPr>
            </m:ctrlPr>
          </m:sSubPr>
          <m:e>
            <m:acc>
              <m:accPr>
                <m:ctrlPr>
                  <w:rPr>
                    <w:rFonts w:ascii="Cambria Math" w:eastAsia="SimSun" w:hAnsi="Cambria Math" w:cs="Arial"/>
                    <w:kern w:val="0"/>
                    <w:sz w:val="24"/>
                  </w:rPr>
                </m:ctrlPr>
              </m:accPr>
              <m:e>
                <m:r>
                  <w:rPr>
                    <w:rFonts w:ascii="Cambria Math" w:eastAsia="SimSun" w:hAnsi="Cambria Math" w:cs="Arial"/>
                    <w:kern w:val="0"/>
                    <w:sz w:val="24"/>
                  </w:rPr>
                  <m:t>P</m:t>
                </m:r>
              </m:e>
            </m:acc>
          </m:e>
          <m:sub>
            <m:r>
              <w:rPr>
                <w:rFonts w:ascii="Cambria Math" w:eastAsia="SimSun" w:hAnsi="Cambria Math" w:cs="Arial"/>
                <w:kern w:val="0"/>
                <w:sz w:val="24"/>
              </w:rPr>
              <m:t>t,t+s</m:t>
            </m:r>
          </m:sub>
        </m:sSub>
      </m:oMath>
      <w:r w:rsidRPr="006F1174">
        <w:rPr>
          <w:rFonts w:ascii="Arial" w:eastAsia="SimSun" w:hAnsi="Arial" w:cs="Arial"/>
          <w:color w:val="000000"/>
          <w:kern w:val="0"/>
          <w:sz w:val="24"/>
        </w:rPr>
        <w:t> denotes the forecast issued in year </w:t>
      </w:r>
      <m:oMath>
        <m:r>
          <w:rPr>
            <w:rFonts w:ascii="Cambria Math" w:eastAsia="SimSun" w:hAnsi="Cambria Math" w:cs="Arial"/>
            <w:kern w:val="0"/>
            <w:sz w:val="24"/>
          </w:rPr>
          <m:t>t</m:t>
        </m:r>
      </m:oMath>
      <w:r w:rsidRPr="006F1174">
        <w:rPr>
          <w:rFonts w:ascii="Arial" w:eastAsia="SimSun" w:hAnsi="Arial" w:cs="Arial"/>
          <w:color w:val="000000"/>
          <w:kern w:val="0"/>
          <w:sz w:val="24"/>
        </w:rPr>
        <w:t> for year </w:t>
      </w:r>
      <m:oMath>
        <m:r>
          <w:rPr>
            <w:rFonts w:ascii="Cambria Math" w:eastAsia="SimSun" w:hAnsi="Cambria Math" w:cs="Arial"/>
            <w:kern w:val="0"/>
            <w:sz w:val="24"/>
          </w:rPr>
          <m:t>t+s</m:t>
        </m:r>
      </m:oMath>
      <w:r w:rsidRPr="006F1174">
        <w:rPr>
          <w:rFonts w:ascii="Arial" w:eastAsia="SimSun" w:hAnsi="Arial" w:cs="Arial"/>
          <w:color w:val="000000"/>
          <w:kern w:val="0"/>
          <w:sz w:val="24"/>
        </w:rPr>
        <w:t>, and </w:t>
      </w:r>
      <m:oMath>
        <m:sSub>
          <m:sSubPr>
            <m:ctrlPr>
              <w:rPr>
                <w:rFonts w:ascii="Cambria Math" w:eastAsia="SimSun" w:hAnsi="Cambria Math" w:cs="Arial"/>
                <w:kern w:val="0"/>
                <w:sz w:val="24"/>
              </w:rPr>
            </m:ctrlPr>
          </m:sSubPr>
          <m:e>
            <m:r>
              <w:rPr>
                <w:rFonts w:ascii="Cambria Math" w:eastAsia="SimSun" w:hAnsi="Cambria Math" w:cs="Arial"/>
                <w:kern w:val="0"/>
                <w:sz w:val="24"/>
              </w:rPr>
              <m:t>P</m:t>
            </m:r>
          </m:e>
          <m:sub>
            <m:r>
              <w:rPr>
                <w:rFonts w:ascii="Cambria Math" w:eastAsia="SimSun" w:hAnsi="Cambria Math" w:cs="Arial"/>
                <w:kern w:val="0"/>
                <w:sz w:val="24"/>
              </w:rPr>
              <m:t>t+s</m:t>
            </m:r>
          </m:sub>
        </m:sSub>
      </m:oMath>
      <w:r w:rsidRPr="006F1174">
        <w:rPr>
          <w:rFonts w:ascii="Arial" w:eastAsia="SimSun" w:hAnsi="Arial" w:cs="Arial"/>
          <w:color w:val="000000"/>
          <w:kern w:val="0"/>
          <w:sz w:val="24"/>
        </w:rPr>
        <w:t> is the realized annual average Brent price.</w:t>
      </w:r>
    </w:p>
    <w:p w14:paraId="7DF65F51" w14:textId="77777777" w:rsidR="006F1174" w:rsidRPr="006F1174" w:rsidRDefault="006F1174" w:rsidP="006F1174">
      <w:pPr>
        <w:widowControl/>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Forecast performance will be assessed using:</w:t>
      </w:r>
    </w:p>
    <w:p w14:paraId="6FB3A008" w14:textId="77777777" w:rsidR="006F1174" w:rsidRPr="006F1174" w:rsidRDefault="006F1174" w:rsidP="006F1174">
      <w:pPr>
        <w:widowControl/>
        <w:numPr>
          <w:ilvl w:val="0"/>
          <w:numId w:val="2"/>
        </w:numPr>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Mean Error (ME) to evaluate systematic bias,</w:t>
      </w:r>
    </w:p>
    <w:p w14:paraId="590F4B9D" w14:textId="77777777" w:rsidR="006F1174" w:rsidRPr="006F1174" w:rsidRDefault="006F1174" w:rsidP="006F1174">
      <w:pPr>
        <w:widowControl/>
        <w:numPr>
          <w:ilvl w:val="0"/>
          <w:numId w:val="2"/>
        </w:numPr>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Mean Absolute Error (MAE),</w:t>
      </w:r>
    </w:p>
    <w:p w14:paraId="3AD4B7DA" w14:textId="77777777" w:rsidR="006F1174" w:rsidRPr="006F1174" w:rsidRDefault="006F1174" w:rsidP="006F1174">
      <w:pPr>
        <w:widowControl/>
        <w:numPr>
          <w:ilvl w:val="0"/>
          <w:numId w:val="2"/>
        </w:numPr>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Root Mean Squared Error (RMSE).</w:t>
      </w:r>
    </w:p>
    <w:p w14:paraId="0D9DFCAA" w14:textId="77777777" w:rsidR="006F1174" w:rsidRPr="006F1174" w:rsidRDefault="006F1174" w:rsidP="006F1174">
      <w:pPr>
        <w:widowControl/>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To assess whether institutional forecasts provide value beyond naive expectations, we compare them to a random walk benchmark defined as:</w:t>
      </w:r>
    </w:p>
    <w:p w14:paraId="00F2D0C4" w14:textId="77777777" w:rsidR="006F1174" w:rsidRPr="006F1174" w:rsidRDefault="00000000" w:rsidP="006F1174">
      <w:pPr>
        <w:widowControl/>
        <w:jc w:val="left"/>
        <w:rPr>
          <w:rFonts w:ascii="Arial" w:eastAsia="SimSun" w:hAnsi="Arial" w:cs="Arial"/>
          <w:kern w:val="0"/>
          <w:sz w:val="24"/>
        </w:rPr>
      </w:pPr>
      <m:oMathPara>
        <m:oMath>
          <m:sSubSup>
            <m:sSubSupPr>
              <m:ctrlPr>
                <w:rPr>
                  <w:rFonts w:ascii="Cambria Math" w:eastAsia="SimSun" w:hAnsi="Cambria Math" w:cs="Arial"/>
                  <w:kern w:val="0"/>
                  <w:sz w:val="24"/>
                </w:rPr>
              </m:ctrlPr>
            </m:sSubSupPr>
            <m:e>
              <m:acc>
                <m:accPr>
                  <m:ctrlPr>
                    <w:rPr>
                      <w:rFonts w:ascii="Cambria Math" w:eastAsia="SimSun" w:hAnsi="Cambria Math" w:cs="Arial"/>
                      <w:kern w:val="0"/>
                      <w:sz w:val="24"/>
                    </w:rPr>
                  </m:ctrlPr>
                </m:accPr>
                <m:e>
                  <m:r>
                    <w:rPr>
                      <w:rFonts w:ascii="Cambria Math" w:eastAsia="SimSun" w:hAnsi="Cambria Math" w:cs="Arial"/>
                      <w:kern w:val="0"/>
                      <w:sz w:val="24"/>
                    </w:rPr>
                    <m:t>P</m:t>
                  </m:r>
                </m:e>
              </m:acc>
            </m:e>
            <m:sub>
              <m:r>
                <w:rPr>
                  <w:rFonts w:ascii="Cambria Math" w:eastAsia="SimSun" w:hAnsi="Cambria Math" w:cs="Arial"/>
                  <w:kern w:val="0"/>
                  <w:sz w:val="24"/>
                </w:rPr>
                <m:t>t,t+s</m:t>
              </m:r>
            </m:sub>
            <m:sup>
              <m:r>
                <w:rPr>
                  <w:rFonts w:ascii="Cambria Math" w:eastAsia="SimSun" w:hAnsi="Cambria Math" w:cs="Arial"/>
                  <w:kern w:val="0"/>
                  <w:sz w:val="24"/>
                </w:rPr>
                <m:t>RW</m:t>
              </m:r>
            </m:sup>
          </m:sSubSup>
          <m:r>
            <w:rPr>
              <w:rFonts w:ascii="Cambria Math" w:eastAsia="SimSun" w:hAnsi="Cambria Math" w:cs="Arial"/>
              <w:kern w:val="0"/>
              <w:sz w:val="24"/>
            </w:rPr>
            <m:t>=</m:t>
          </m:r>
          <m:sSub>
            <m:sSubPr>
              <m:ctrlPr>
                <w:rPr>
                  <w:rFonts w:ascii="Cambria Math" w:eastAsia="SimSun" w:hAnsi="Cambria Math" w:cs="Arial"/>
                  <w:kern w:val="0"/>
                  <w:sz w:val="24"/>
                </w:rPr>
              </m:ctrlPr>
            </m:sSubPr>
            <m:e>
              <m:r>
                <w:rPr>
                  <w:rFonts w:ascii="Cambria Math" w:eastAsia="SimSun" w:hAnsi="Cambria Math" w:cs="Arial"/>
                  <w:kern w:val="0"/>
                  <w:sz w:val="24"/>
                </w:rPr>
                <m:t>P</m:t>
              </m:r>
            </m:e>
            <m:sub>
              <m:r>
                <w:rPr>
                  <w:rFonts w:ascii="Cambria Math" w:eastAsia="SimSun" w:hAnsi="Cambria Math" w:cs="Arial"/>
                  <w:kern w:val="0"/>
                  <w:sz w:val="24"/>
                </w:rPr>
                <m:t>t</m:t>
              </m:r>
            </m:sub>
          </m:sSub>
          <m:r>
            <m:rPr>
              <m:sty m:val="p"/>
            </m:rPr>
            <w:rPr>
              <w:rFonts w:ascii="Arial" w:eastAsia="SimSun" w:hAnsi="Arial" w:cs="Arial"/>
              <w:kern w:val="0"/>
              <w:sz w:val="24"/>
            </w:rPr>
            <w:br/>
          </m:r>
        </m:oMath>
      </m:oMathPara>
    </w:p>
    <w:p w14:paraId="694B2AA7" w14:textId="12DDCF87" w:rsidR="006F1174" w:rsidRPr="007B52AD" w:rsidRDefault="006F1174" w:rsidP="007B52AD">
      <w:pPr>
        <w:widowControl/>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All forecasts are evaluated strictly using historical vintages, ensuring real-time out-of-sample comparison and preventing look-ahead bias.</w:t>
      </w:r>
    </w:p>
    <w:p w14:paraId="03B024E9" w14:textId="77777777" w:rsidR="006F1174" w:rsidRDefault="006F1174" w:rsidP="006F1174">
      <w:pPr>
        <w:widowControl/>
        <w:spacing w:before="100" w:beforeAutospacing="1" w:after="100" w:afterAutospacing="1"/>
        <w:jc w:val="left"/>
        <w:outlineLvl w:val="1"/>
        <w:rPr>
          <w:rFonts w:ascii="Arial" w:eastAsia="SimSun" w:hAnsi="Arial" w:cs="Arial"/>
          <w:b/>
          <w:bCs/>
          <w:color w:val="000000"/>
          <w:kern w:val="0"/>
          <w:sz w:val="36"/>
          <w:szCs w:val="36"/>
        </w:rPr>
      </w:pPr>
      <w:r w:rsidRPr="006F1174">
        <w:rPr>
          <w:rFonts w:ascii="Arial" w:eastAsia="SimSun" w:hAnsi="Arial" w:cs="Arial"/>
          <w:b/>
          <w:bCs/>
          <w:color w:val="000000"/>
          <w:kern w:val="0"/>
          <w:sz w:val="36"/>
          <w:szCs w:val="36"/>
        </w:rPr>
        <w:t>5. Model Improvement Strategy</w:t>
      </w:r>
    </w:p>
    <w:p w14:paraId="0CAEF8C3" w14:textId="77777777" w:rsidR="004A37F5" w:rsidRPr="004A37F5" w:rsidRDefault="004A37F5" w:rsidP="004A37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SimSun" w:hAnsi="Arial" w:cs="Arial"/>
          <w:color w:val="000000"/>
          <w:kern w:val="0"/>
          <w:sz w:val="24"/>
        </w:rPr>
      </w:pPr>
      <w:r w:rsidRPr="004A37F5">
        <w:rPr>
          <w:rFonts w:ascii="Arial" w:eastAsia="SimSun" w:hAnsi="Arial" w:cs="Arial"/>
          <w:color w:val="000000"/>
          <w:kern w:val="0"/>
          <w:sz w:val="24"/>
        </w:rPr>
        <w:t>Beyond evaluating institutional forecasts, we test whether a simple and transparent alternative model can improve predictive performance.</w:t>
      </w:r>
    </w:p>
    <w:p w14:paraId="2F8A164D" w14:textId="77777777" w:rsidR="004A37F5" w:rsidRPr="004A37F5" w:rsidRDefault="004A37F5" w:rsidP="004A37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SimSun" w:hAnsi="Arial" w:cs="Arial"/>
          <w:color w:val="000000"/>
          <w:kern w:val="0"/>
          <w:sz w:val="24"/>
        </w:rPr>
      </w:pPr>
    </w:p>
    <w:p w14:paraId="5F86610D" w14:textId="626F1B86" w:rsidR="004A37F5" w:rsidRPr="004A37F5" w:rsidRDefault="004A37F5" w:rsidP="004A37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SimSun" w:hAnsi="Arial" w:cs="Arial"/>
          <w:color w:val="000000"/>
          <w:kern w:val="0"/>
          <w:sz w:val="24"/>
        </w:rPr>
      </w:pPr>
      <w:r w:rsidRPr="004A37F5">
        <w:rPr>
          <w:rFonts w:ascii="Arial" w:eastAsia="SimSun" w:hAnsi="Arial" w:cs="Arial"/>
          <w:color w:val="000000"/>
          <w:kern w:val="0"/>
          <w:sz w:val="24"/>
        </w:rPr>
        <w:t>For each forecast horizon, we estimate a rolling autoregressive model augmented with oil futures information. The model uses:</w:t>
      </w:r>
    </w:p>
    <w:p w14:paraId="41461F8E" w14:textId="77777777" w:rsidR="004A37F5" w:rsidRPr="004A37F5" w:rsidRDefault="004A37F5" w:rsidP="004A37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SimSun" w:hAnsi="Arial" w:cs="Arial"/>
          <w:color w:val="000000"/>
          <w:kern w:val="0"/>
          <w:sz w:val="24"/>
        </w:rPr>
      </w:pPr>
    </w:p>
    <w:p w14:paraId="3A355511" w14:textId="4814975E" w:rsidR="004A37F5" w:rsidRPr="004A37F5" w:rsidRDefault="004A37F5" w:rsidP="004A37F5">
      <w:pPr>
        <w:pStyle w:val="ListParagraph"/>
        <w:numPr>
          <w:ilvl w:val="0"/>
          <w:numId w:val="1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SimSun" w:hAnsi="Arial" w:cs="Arial"/>
          <w:color w:val="000000"/>
          <w:kern w:val="0"/>
          <w:sz w:val="24"/>
        </w:rPr>
      </w:pPr>
      <w:r w:rsidRPr="004A37F5">
        <w:rPr>
          <w:rFonts w:ascii="Arial" w:eastAsia="SimSun" w:hAnsi="Arial" w:cs="Arial" w:hint="eastAsia"/>
          <w:color w:val="000000"/>
          <w:kern w:val="0"/>
          <w:sz w:val="24"/>
        </w:rPr>
        <w:t>T</w:t>
      </w:r>
      <w:r w:rsidRPr="004A37F5">
        <w:rPr>
          <w:rFonts w:ascii="Arial" w:eastAsia="SimSun" w:hAnsi="Arial" w:cs="Arial"/>
          <w:color w:val="000000"/>
          <w:kern w:val="0"/>
          <w:sz w:val="24"/>
        </w:rPr>
        <w:t>he current annual Brent price</w:t>
      </w:r>
    </w:p>
    <w:p w14:paraId="2B0D35C8" w14:textId="77777777" w:rsidR="004A37F5" w:rsidRPr="004A37F5" w:rsidRDefault="004A37F5" w:rsidP="004A37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SimSun" w:hAnsi="Arial" w:cs="Arial"/>
          <w:color w:val="000000"/>
          <w:kern w:val="0"/>
          <w:sz w:val="24"/>
        </w:rPr>
      </w:pPr>
    </w:p>
    <w:p w14:paraId="34D513DF" w14:textId="30B21A61" w:rsidR="004A37F5" w:rsidRPr="004A37F5" w:rsidRDefault="004A37F5" w:rsidP="004A37F5">
      <w:pPr>
        <w:pStyle w:val="ListParagraph"/>
        <w:numPr>
          <w:ilvl w:val="0"/>
          <w:numId w:val="1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SimSun" w:hAnsi="Arial" w:cs="Arial"/>
          <w:color w:val="000000"/>
          <w:kern w:val="0"/>
          <w:sz w:val="24"/>
        </w:rPr>
      </w:pPr>
      <w:r w:rsidRPr="004A37F5">
        <w:rPr>
          <w:rFonts w:ascii="Arial" w:eastAsia="SimSun" w:hAnsi="Arial" w:cs="Arial"/>
          <w:color w:val="000000"/>
          <w:kern w:val="0"/>
          <w:sz w:val="24"/>
        </w:rPr>
        <w:t>A futures term structure indicator available at the time of forecast issuance</w:t>
      </w:r>
    </w:p>
    <w:p w14:paraId="6D682029" w14:textId="77777777" w:rsidR="004A37F5" w:rsidRPr="004A37F5" w:rsidRDefault="004A37F5" w:rsidP="004A37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SimSun" w:hAnsi="Arial" w:cs="Arial"/>
          <w:color w:val="000000"/>
          <w:kern w:val="0"/>
          <w:sz w:val="24"/>
        </w:rPr>
      </w:pPr>
    </w:p>
    <w:p w14:paraId="4EA6B00B" w14:textId="77777777" w:rsidR="004A37F5" w:rsidRPr="004A37F5" w:rsidRDefault="004A37F5" w:rsidP="004A37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SimSun" w:hAnsi="Arial" w:cs="Arial"/>
          <w:color w:val="000000"/>
          <w:kern w:val="0"/>
          <w:sz w:val="24"/>
        </w:rPr>
      </w:pPr>
      <w:r w:rsidRPr="004A37F5">
        <w:rPr>
          <w:rFonts w:ascii="Arial" w:eastAsia="SimSun" w:hAnsi="Arial" w:cs="Arial"/>
          <w:color w:val="000000"/>
          <w:kern w:val="0"/>
          <w:sz w:val="24"/>
        </w:rPr>
        <w:t>All models are estimated using only information available up to year t, ensuring temporal consistency with forecast vintages. No revised data are used.</w:t>
      </w:r>
    </w:p>
    <w:p w14:paraId="6BBC6618" w14:textId="77777777" w:rsidR="004A37F5" w:rsidRPr="004A37F5" w:rsidRDefault="004A37F5" w:rsidP="004A37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SimSun" w:hAnsi="Arial" w:cs="Arial"/>
          <w:color w:val="000000"/>
          <w:kern w:val="0"/>
          <w:sz w:val="24"/>
        </w:rPr>
      </w:pPr>
    </w:p>
    <w:p w14:paraId="35A5873A" w14:textId="77777777" w:rsidR="004A37F5" w:rsidRPr="004A37F5" w:rsidRDefault="004A37F5" w:rsidP="004A37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SimSun" w:hAnsi="Arial" w:cs="Arial"/>
          <w:color w:val="000000"/>
          <w:kern w:val="0"/>
          <w:sz w:val="24"/>
        </w:rPr>
      </w:pPr>
      <w:r w:rsidRPr="004A37F5">
        <w:rPr>
          <w:rFonts w:ascii="Arial" w:eastAsia="SimSun" w:hAnsi="Arial" w:cs="Arial"/>
          <w:color w:val="000000"/>
          <w:kern w:val="0"/>
          <w:sz w:val="24"/>
        </w:rPr>
        <w:t xml:space="preserve">Forecasts for years t+3 and t+5 are generated using a rolling-origin out-of-sample framework. Model performance is then compared against institutional forecasts and a random walk benchmark using identical evaluation metrics </w:t>
      </w:r>
      <w:r w:rsidRPr="004A37F5">
        <w:rPr>
          <w:rFonts w:ascii="Arial" w:eastAsia="SimSun" w:hAnsi="Arial" w:cs="Arial"/>
          <w:color w:val="000000"/>
          <w:kern w:val="0"/>
          <w:sz w:val="24"/>
        </w:rPr>
        <w:lastRenderedPageBreak/>
        <w:t>(ME, MAE, and RMSE).</w:t>
      </w:r>
    </w:p>
    <w:p w14:paraId="2A41941D" w14:textId="77777777" w:rsidR="004A37F5" w:rsidRPr="004A37F5" w:rsidRDefault="004A37F5" w:rsidP="004A37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SimSun" w:hAnsi="Arial" w:cs="Arial"/>
          <w:color w:val="000000"/>
          <w:kern w:val="0"/>
          <w:sz w:val="24"/>
        </w:rPr>
      </w:pPr>
    </w:p>
    <w:p w14:paraId="391F6953" w14:textId="500EF80C" w:rsidR="006F1174" w:rsidRPr="007B52AD" w:rsidRDefault="004A37F5" w:rsidP="007B52AD">
      <w:pPr>
        <w:widowControl/>
        <w:spacing w:before="100" w:beforeAutospacing="1" w:after="100" w:afterAutospacing="1"/>
        <w:jc w:val="left"/>
        <w:outlineLvl w:val="1"/>
        <w:rPr>
          <w:rFonts w:ascii="Arial" w:eastAsia="SimSun" w:hAnsi="Arial" w:cs="Arial"/>
          <w:color w:val="000000"/>
          <w:kern w:val="0"/>
          <w:sz w:val="24"/>
        </w:rPr>
      </w:pPr>
      <w:r w:rsidRPr="004A37F5">
        <w:rPr>
          <w:rFonts w:ascii="Arial" w:eastAsia="SimSun" w:hAnsi="Arial" w:cs="Arial"/>
          <w:color w:val="000000"/>
          <w:kern w:val="0"/>
          <w:sz w:val="24"/>
        </w:rPr>
        <w:t>This parsimonious improvement strategy allows us to assess whether incorporating limited market-based information can reduce forecast error without introducing excessive model complexity.</w:t>
      </w:r>
    </w:p>
    <w:p w14:paraId="051878D0" w14:textId="77777777" w:rsidR="006F1174" w:rsidRPr="006F1174" w:rsidRDefault="006F1174" w:rsidP="006F1174">
      <w:pPr>
        <w:widowControl/>
        <w:spacing w:before="100" w:beforeAutospacing="1" w:after="100" w:afterAutospacing="1"/>
        <w:jc w:val="left"/>
        <w:outlineLvl w:val="1"/>
        <w:rPr>
          <w:rFonts w:ascii="Arial" w:eastAsia="SimSun" w:hAnsi="Arial" w:cs="Arial"/>
          <w:b/>
          <w:bCs/>
          <w:color w:val="000000"/>
          <w:kern w:val="0"/>
          <w:sz w:val="36"/>
          <w:szCs w:val="36"/>
        </w:rPr>
      </w:pPr>
      <w:r w:rsidRPr="006F1174">
        <w:rPr>
          <w:rFonts w:ascii="Arial" w:eastAsia="SimSun" w:hAnsi="Arial" w:cs="Arial"/>
          <w:b/>
          <w:bCs/>
          <w:color w:val="000000"/>
          <w:kern w:val="0"/>
          <w:sz w:val="36"/>
          <w:szCs w:val="36"/>
        </w:rPr>
        <w:t>6. Data Acquisition Plan and Feasibility</w:t>
      </w:r>
    </w:p>
    <w:p w14:paraId="16DF6702" w14:textId="77777777" w:rsidR="006F1174" w:rsidRPr="006F1174" w:rsidRDefault="006F1174" w:rsidP="006F1174">
      <w:pPr>
        <w:widowControl/>
        <w:spacing w:before="100" w:beforeAutospacing="1" w:after="100" w:afterAutospacing="1"/>
        <w:jc w:val="left"/>
        <w:outlineLvl w:val="2"/>
        <w:rPr>
          <w:rFonts w:ascii="Arial" w:eastAsia="SimSun" w:hAnsi="Arial" w:cs="Arial"/>
          <w:b/>
          <w:bCs/>
          <w:color w:val="000000"/>
          <w:kern w:val="0"/>
          <w:sz w:val="27"/>
          <w:szCs w:val="27"/>
        </w:rPr>
      </w:pPr>
      <w:r w:rsidRPr="006F1174">
        <w:rPr>
          <w:rFonts w:ascii="Arial" w:eastAsia="SimSun" w:hAnsi="Arial" w:cs="Arial"/>
          <w:b/>
          <w:bCs/>
          <w:color w:val="000000"/>
          <w:kern w:val="0"/>
          <w:sz w:val="27"/>
          <w:szCs w:val="27"/>
        </w:rPr>
        <w:t>Realized Price Data</w:t>
      </w:r>
    </w:p>
    <w:p w14:paraId="19C4E120" w14:textId="0C67E1C3" w:rsidR="006F1174" w:rsidRPr="007B52AD" w:rsidRDefault="006F1174" w:rsidP="007B52AD">
      <w:pPr>
        <w:widowControl/>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Annual average Brent spot prices are publicly available from EIA and provide complete historical coverage. These data can be downloaded in structured format.</w:t>
      </w:r>
    </w:p>
    <w:p w14:paraId="30FD5368" w14:textId="77777777" w:rsidR="006F1174" w:rsidRPr="006F1174" w:rsidRDefault="006F1174" w:rsidP="006F1174">
      <w:pPr>
        <w:widowControl/>
        <w:spacing w:before="100" w:beforeAutospacing="1" w:after="100" w:afterAutospacing="1"/>
        <w:jc w:val="left"/>
        <w:outlineLvl w:val="2"/>
        <w:rPr>
          <w:rFonts w:ascii="Arial" w:eastAsia="SimSun" w:hAnsi="Arial" w:cs="Arial"/>
          <w:b/>
          <w:bCs/>
          <w:color w:val="000000"/>
          <w:kern w:val="0"/>
          <w:sz w:val="27"/>
          <w:szCs w:val="27"/>
        </w:rPr>
      </w:pPr>
      <w:r w:rsidRPr="006F1174">
        <w:rPr>
          <w:rFonts w:ascii="Arial" w:eastAsia="SimSun" w:hAnsi="Arial" w:cs="Arial"/>
          <w:b/>
          <w:bCs/>
          <w:color w:val="000000"/>
          <w:kern w:val="0"/>
          <w:sz w:val="27"/>
          <w:szCs w:val="27"/>
        </w:rPr>
        <w:t>Forecast Vintage Data</w:t>
      </w:r>
    </w:p>
    <w:p w14:paraId="01757AE7" w14:textId="77777777" w:rsidR="006F1174" w:rsidRPr="006F1174" w:rsidRDefault="006F1174" w:rsidP="006F1174">
      <w:pPr>
        <w:widowControl/>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Forecast vintages will be collected primarily from recurring institutional outlook publications:</w:t>
      </w:r>
    </w:p>
    <w:p w14:paraId="12F8934A" w14:textId="77777777" w:rsidR="006F1174" w:rsidRPr="006F1174" w:rsidRDefault="006F1174" w:rsidP="006F1174">
      <w:pPr>
        <w:widowControl/>
        <w:numPr>
          <w:ilvl w:val="0"/>
          <w:numId w:val="4"/>
        </w:numPr>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EIA Annual Energy Outlook</w:t>
      </w:r>
    </w:p>
    <w:p w14:paraId="6537272B" w14:textId="77777777" w:rsidR="006F1174" w:rsidRPr="006F1174" w:rsidRDefault="006F1174" w:rsidP="006F1174">
      <w:pPr>
        <w:widowControl/>
        <w:numPr>
          <w:ilvl w:val="0"/>
          <w:numId w:val="4"/>
        </w:numPr>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IEA World Energy Outlook</w:t>
      </w:r>
    </w:p>
    <w:p w14:paraId="0FE68530" w14:textId="77777777" w:rsidR="006F1174" w:rsidRPr="006F1174" w:rsidRDefault="006F1174" w:rsidP="006F1174">
      <w:pPr>
        <w:widowControl/>
        <w:numPr>
          <w:ilvl w:val="0"/>
          <w:numId w:val="4"/>
        </w:numPr>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World Bank Commodity Outlook</w:t>
      </w:r>
    </w:p>
    <w:p w14:paraId="1990352B" w14:textId="77777777" w:rsidR="006F1174" w:rsidRPr="006F1174" w:rsidRDefault="006F1174" w:rsidP="006F1174">
      <w:pPr>
        <w:widowControl/>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We anticipate collecting forecast vintages from approximately 2000 onward, subject to historical availability. Forecast values will be extracted from published tables or supplementary data files and standardized to annual average Brent prices in nominal terms.</w:t>
      </w:r>
    </w:p>
    <w:p w14:paraId="5CB280B1" w14:textId="038651E2" w:rsidR="006F1174" w:rsidRPr="007B52AD" w:rsidRDefault="006F1174" w:rsidP="007B52AD">
      <w:pPr>
        <w:widowControl/>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Each forecast will be recorded with its publication year to preserve vintage structure.</w:t>
      </w:r>
    </w:p>
    <w:p w14:paraId="46FFF725" w14:textId="77777777" w:rsidR="006F1174" w:rsidRPr="006F1174" w:rsidRDefault="006F1174" w:rsidP="006F1174">
      <w:pPr>
        <w:widowControl/>
        <w:spacing w:before="100" w:beforeAutospacing="1" w:after="100" w:afterAutospacing="1"/>
        <w:jc w:val="left"/>
        <w:outlineLvl w:val="2"/>
        <w:rPr>
          <w:rFonts w:ascii="Arial" w:eastAsia="SimSun" w:hAnsi="Arial" w:cs="Arial"/>
          <w:b/>
          <w:bCs/>
          <w:color w:val="000000"/>
          <w:kern w:val="0"/>
          <w:sz w:val="27"/>
          <w:szCs w:val="27"/>
        </w:rPr>
      </w:pPr>
      <w:r w:rsidRPr="006F1174">
        <w:rPr>
          <w:rFonts w:ascii="Arial" w:eastAsia="SimSun" w:hAnsi="Arial" w:cs="Arial"/>
          <w:b/>
          <w:bCs/>
          <w:color w:val="000000"/>
          <w:kern w:val="0"/>
          <w:sz w:val="27"/>
          <w:szCs w:val="27"/>
        </w:rPr>
        <w:t>Macroeconomic and Financial Data</w:t>
      </w:r>
    </w:p>
    <w:p w14:paraId="2A831993" w14:textId="3F6C413E" w:rsidR="006F1174" w:rsidRPr="007B52AD" w:rsidRDefault="006F1174" w:rsidP="007B52AD">
      <w:pPr>
        <w:widowControl/>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Macroeconomic and financial variables will be obtained from public databases such as FRED and World Bank data portals. These data are available in annual frequency and can be aligned consistently with forecast vintages.</w:t>
      </w:r>
    </w:p>
    <w:p w14:paraId="0278EA8E" w14:textId="77777777" w:rsidR="006F1174" w:rsidRPr="006F1174" w:rsidRDefault="006F1174" w:rsidP="006F1174">
      <w:pPr>
        <w:widowControl/>
        <w:spacing w:before="100" w:beforeAutospacing="1" w:after="100" w:afterAutospacing="1"/>
        <w:jc w:val="left"/>
        <w:outlineLvl w:val="1"/>
        <w:rPr>
          <w:rFonts w:ascii="Arial" w:eastAsia="SimSun" w:hAnsi="Arial" w:cs="Arial"/>
          <w:b/>
          <w:bCs/>
          <w:color w:val="000000"/>
          <w:kern w:val="0"/>
          <w:sz w:val="36"/>
          <w:szCs w:val="36"/>
        </w:rPr>
      </w:pPr>
      <w:r w:rsidRPr="006F1174">
        <w:rPr>
          <w:rFonts w:ascii="Arial" w:eastAsia="SimSun" w:hAnsi="Arial" w:cs="Arial"/>
          <w:b/>
          <w:bCs/>
          <w:color w:val="000000"/>
          <w:kern w:val="0"/>
          <w:sz w:val="36"/>
          <w:szCs w:val="36"/>
        </w:rPr>
        <w:t>7. Fallback Strategy</w:t>
      </w:r>
    </w:p>
    <w:p w14:paraId="73CB0E5E" w14:textId="77777777" w:rsidR="006F1174" w:rsidRPr="006F1174" w:rsidRDefault="006F1174" w:rsidP="006F1174">
      <w:pPr>
        <w:widowControl/>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If certain forecast vintages are not consistently available:</w:t>
      </w:r>
    </w:p>
    <w:p w14:paraId="4FF3229D" w14:textId="77777777" w:rsidR="006F1174" w:rsidRPr="006F1174" w:rsidRDefault="006F1174" w:rsidP="006F1174">
      <w:pPr>
        <w:widowControl/>
        <w:numPr>
          <w:ilvl w:val="0"/>
          <w:numId w:val="5"/>
        </w:numPr>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lastRenderedPageBreak/>
        <w:t>The analysis will prioritize EIA data as the primary institutional source.</w:t>
      </w:r>
    </w:p>
    <w:p w14:paraId="3D83B22F" w14:textId="77777777" w:rsidR="006F1174" w:rsidRPr="006F1174" w:rsidRDefault="006F1174" w:rsidP="006F1174">
      <w:pPr>
        <w:widowControl/>
        <w:numPr>
          <w:ilvl w:val="0"/>
          <w:numId w:val="5"/>
        </w:numPr>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The evaluation horizon may be restricted to three-year-ahead forecasts if five-year coverage is insufficient.</w:t>
      </w:r>
    </w:p>
    <w:p w14:paraId="0057840E" w14:textId="77777777" w:rsidR="006F1174" w:rsidRPr="006F1174" w:rsidRDefault="006F1174" w:rsidP="006F1174">
      <w:pPr>
        <w:widowControl/>
        <w:numPr>
          <w:ilvl w:val="0"/>
          <w:numId w:val="5"/>
        </w:numPr>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The sample window may be narrowed to ensure consistent vintage alignment.</w:t>
      </w:r>
    </w:p>
    <w:p w14:paraId="7BCA8A74" w14:textId="72F578E5" w:rsidR="006F1174" w:rsidRPr="007B52AD" w:rsidRDefault="006F1174" w:rsidP="007B52AD">
      <w:pPr>
        <w:widowControl/>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If model complexity becomes infeasible within the project timeline, the improvement analysis will focus on econometric models, with machine learning extensions treated as supplementary.</w:t>
      </w:r>
    </w:p>
    <w:p w14:paraId="242E7728" w14:textId="77777777" w:rsidR="006F1174" w:rsidRPr="006F1174" w:rsidRDefault="006F1174" w:rsidP="006F1174">
      <w:pPr>
        <w:widowControl/>
        <w:spacing w:before="100" w:beforeAutospacing="1" w:after="100" w:afterAutospacing="1"/>
        <w:jc w:val="left"/>
        <w:outlineLvl w:val="1"/>
        <w:rPr>
          <w:rFonts w:ascii="Arial" w:eastAsia="SimSun" w:hAnsi="Arial" w:cs="Arial"/>
          <w:b/>
          <w:bCs/>
          <w:color w:val="000000"/>
          <w:kern w:val="0"/>
          <w:sz w:val="36"/>
          <w:szCs w:val="36"/>
        </w:rPr>
      </w:pPr>
      <w:r w:rsidRPr="006F1174">
        <w:rPr>
          <w:rFonts w:ascii="Arial" w:eastAsia="SimSun" w:hAnsi="Arial" w:cs="Arial"/>
          <w:b/>
          <w:bCs/>
          <w:color w:val="000000"/>
          <w:kern w:val="0"/>
          <w:sz w:val="36"/>
          <w:szCs w:val="36"/>
        </w:rPr>
        <w:t>8. Project Contribution</w:t>
      </w:r>
    </w:p>
    <w:p w14:paraId="259E0C7B" w14:textId="77777777" w:rsidR="006F1174" w:rsidRPr="006F1174" w:rsidRDefault="006F1174" w:rsidP="006F1174">
      <w:pPr>
        <w:widowControl/>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This project provides decision-relevant insight for upstream oil producers by assessing whether commonly referenced long-term oil price forecasts are sufficiently reliable for capital planning.</w:t>
      </w:r>
    </w:p>
    <w:p w14:paraId="3B518115" w14:textId="6F652D75" w:rsidR="006F1174" w:rsidRPr="006F1174" w:rsidRDefault="006F1174" w:rsidP="006F1174">
      <w:pPr>
        <w:widowControl/>
        <w:spacing w:before="100" w:beforeAutospacing="1" w:after="100" w:afterAutospacing="1"/>
        <w:jc w:val="left"/>
        <w:rPr>
          <w:rFonts w:ascii="Arial" w:eastAsia="SimSun" w:hAnsi="Arial" w:cs="Arial"/>
          <w:color w:val="000000"/>
          <w:kern w:val="0"/>
          <w:sz w:val="24"/>
        </w:rPr>
      </w:pPr>
      <w:r w:rsidRPr="006F1174">
        <w:rPr>
          <w:rFonts w:ascii="Arial" w:eastAsia="SimSun" w:hAnsi="Arial" w:cs="Arial"/>
          <w:color w:val="000000"/>
          <w:kern w:val="0"/>
          <w:sz w:val="24"/>
        </w:rPr>
        <w:t xml:space="preserve">The findings will inform whether institutional forecasts exhibit systematic optimism or pessimism, whether they outperform naive benchmarks, and </w:t>
      </w:r>
      <w:r w:rsidR="004A37F5" w:rsidRPr="004A37F5">
        <w:rPr>
          <w:rFonts w:ascii="Arial" w:eastAsia="SimSun" w:hAnsi="Arial" w:cs="Arial"/>
          <w:color w:val="000000"/>
          <w:kern w:val="0"/>
          <w:sz w:val="24"/>
        </w:rPr>
        <w:t xml:space="preserve">whether incorporating limited market-based information can reduce predictive error. </w:t>
      </w:r>
      <w:r w:rsidRPr="006F1174">
        <w:rPr>
          <w:rFonts w:ascii="Arial" w:eastAsia="SimSun" w:hAnsi="Arial" w:cs="Arial"/>
          <w:color w:val="000000"/>
          <w:kern w:val="0"/>
          <w:sz w:val="24"/>
        </w:rPr>
        <w:t>These results can guide firms in adjusting forecast inputs, applying bias corrections, or developing internal forecast combination strategies to improve capital allocation decisions.</w:t>
      </w:r>
    </w:p>
    <w:p w14:paraId="1144A042" w14:textId="77777777" w:rsidR="00BD6AE7" w:rsidRPr="00BC776F" w:rsidRDefault="00BD6AE7">
      <w:pPr>
        <w:rPr>
          <w:rFonts w:ascii="Arial" w:hAnsi="Arial" w:cs="Arial"/>
        </w:rPr>
      </w:pPr>
    </w:p>
    <w:sectPr w:rsidR="00BD6AE7" w:rsidRPr="00BC776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78C"/>
    <w:multiLevelType w:val="hybridMultilevel"/>
    <w:tmpl w:val="A384778E"/>
    <w:lvl w:ilvl="0" w:tplc="A99EA7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EE460B6"/>
    <w:multiLevelType w:val="hybridMultilevel"/>
    <w:tmpl w:val="44DC1B54"/>
    <w:lvl w:ilvl="0" w:tplc="78885E22">
      <w:start w:val="1"/>
      <w:numFmt w:val="bullet"/>
      <w:lvlText w:val=""/>
      <w:lvlJc w:val="left"/>
      <w:pPr>
        <w:ind w:left="440" w:hanging="440"/>
      </w:pPr>
      <w:rPr>
        <w:rFonts w:ascii="Wingdings" w:eastAsia="SimSun" w:hAnsi="Wingdings" w:cs="Wingdings" w:hint="default"/>
        <w:b w:val="0"/>
        <w:i w:val="0"/>
        <w:strike w:val="0"/>
        <w:dstrike w:val="0"/>
        <w:color w:val="000000"/>
        <w:sz w:val="18"/>
        <w:szCs w:val="18"/>
        <w:u w:val="none" w:color="000000"/>
        <w:vertAlign w:val="baseline"/>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167A6E3D"/>
    <w:multiLevelType w:val="hybridMultilevel"/>
    <w:tmpl w:val="6B26FA60"/>
    <w:lvl w:ilvl="0" w:tplc="886045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BC86B90"/>
    <w:multiLevelType w:val="hybridMultilevel"/>
    <w:tmpl w:val="92BE22BC"/>
    <w:lvl w:ilvl="0" w:tplc="648CDA52">
      <w:start w:val="1"/>
      <w:numFmt w:val="bullet"/>
      <w:lvlText w:val="•"/>
      <w:lvlJc w:val="left"/>
      <w:pPr>
        <w:ind w:left="440" w:hanging="440"/>
      </w:pPr>
      <w:rPr>
        <w:rFonts w:ascii="Wingdings" w:eastAsia="SimSun" w:hAnsi="Wingdings" w:cs="Wingdings" w:hint="default"/>
        <w:b w:val="0"/>
        <w:i w:val="0"/>
        <w:strike w:val="0"/>
        <w:dstrike w:val="0"/>
        <w:color w:val="000000"/>
        <w:sz w:val="18"/>
        <w:szCs w:val="18"/>
        <w:u w:val="none" w:color="000000"/>
        <w:vertAlign w:val="baseline"/>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F89152D"/>
    <w:multiLevelType w:val="hybridMultilevel"/>
    <w:tmpl w:val="4B86CCDE"/>
    <w:lvl w:ilvl="0" w:tplc="9D2876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F6F6A83"/>
    <w:multiLevelType w:val="multilevel"/>
    <w:tmpl w:val="05BE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37925"/>
    <w:multiLevelType w:val="multilevel"/>
    <w:tmpl w:val="BB8A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024D11"/>
    <w:multiLevelType w:val="hybridMultilevel"/>
    <w:tmpl w:val="7BB65998"/>
    <w:lvl w:ilvl="0" w:tplc="648CDA52">
      <w:start w:val="1"/>
      <w:numFmt w:val="bullet"/>
      <w:lvlText w:val="•"/>
      <w:lvlJc w:val="left"/>
      <w:pPr>
        <w:ind w:left="440" w:hanging="440"/>
      </w:pPr>
      <w:rPr>
        <w:rFonts w:ascii="Wingdings" w:eastAsia="SimSun" w:hAnsi="Wingdings" w:cs="Wingdings" w:hint="default"/>
        <w:b w:val="0"/>
        <w:i w:val="0"/>
        <w:strike w:val="0"/>
        <w:dstrike w:val="0"/>
        <w:color w:val="000000"/>
        <w:sz w:val="18"/>
        <w:szCs w:val="18"/>
        <w:u w:val="none" w:color="000000"/>
        <w:vertAlign w:val="baseline"/>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8" w15:restartNumberingAfterBreak="0">
    <w:nsid w:val="56DB50BB"/>
    <w:multiLevelType w:val="hybridMultilevel"/>
    <w:tmpl w:val="5F000AE0"/>
    <w:lvl w:ilvl="0" w:tplc="F0627308">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06838B2"/>
    <w:multiLevelType w:val="hybridMultilevel"/>
    <w:tmpl w:val="01404444"/>
    <w:lvl w:ilvl="0" w:tplc="78885E22">
      <w:start w:val="1"/>
      <w:numFmt w:val="bullet"/>
      <w:lvlText w:val=""/>
      <w:lvlJc w:val="left"/>
      <w:pPr>
        <w:ind w:left="440" w:hanging="440"/>
      </w:pPr>
      <w:rPr>
        <w:rFonts w:ascii="Wingdings" w:eastAsia="SimSun" w:hAnsi="Wingdings" w:cs="Wingdings" w:hint="default"/>
        <w:b w:val="0"/>
        <w:i w:val="0"/>
        <w:strike w:val="0"/>
        <w:dstrike w:val="0"/>
        <w:color w:val="000000"/>
        <w:sz w:val="18"/>
        <w:szCs w:val="18"/>
        <w:u w:val="none" w:color="000000"/>
        <w:vertAlign w:val="baseline"/>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 w15:restartNumberingAfterBreak="0">
    <w:nsid w:val="6E2D07CE"/>
    <w:multiLevelType w:val="multilevel"/>
    <w:tmpl w:val="119A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D44B18"/>
    <w:multiLevelType w:val="hybridMultilevel"/>
    <w:tmpl w:val="C890BDAA"/>
    <w:lvl w:ilvl="0" w:tplc="648CDA52">
      <w:start w:val="1"/>
      <w:numFmt w:val="bullet"/>
      <w:lvlText w:val="•"/>
      <w:lvlJc w:val="left"/>
      <w:pPr>
        <w:ind w:left="440" w:hanging="440"/>
      </w:pPr>
      <w:rPr>
        <w:rFonts w:ascii="Wingdings" w:eastAsia="SimSun" w:hAnsi="Wingdings" w:cs="Wingdings" w:hint="default"/>
        <w:b w:val="0"/>
        <w:i w:val="0"/>
        <w:strike w:val="0"/>
        <w:dstrike w:val="0"/>
        <w:color w:val="000000"/>
        <w:sz w:val="18"/>
        <w:szCs w:val="18"/>
        <w:u w:val="none" w:color="000000"/>
        <w:vertAlign w:val="baseline"/>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2" w15:restartNumberingAfterBreak="0">
    <w:nsid w:val="752268FF"/>
    <w:multiLevelType w:val="multilevel"/>
    <w:tmpl w:val="AE94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A7358D"/>
    <w:multiLevelType w:val="multilevel"/>
    <w:tmpl w:val="32A4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754245">
    <w:abstractNumId w:val="13"/>
  </w:num>
  <w:num w:numId="2" w16cid:durableId="1178084047">
    <w:abstractNumId w:val="5"/>
  </w:num>
  <w:num w:numId="3" w16cid:durableId="1574270248">
    <w:abstractNumId w:val="10"/>
  </w:num>
  <w:num w:numId="4" w16cid:durableId="2038045323">
    <w:abstractNumId w:val="6"/>
  </w:num>
  <w:num w:numId="5" w16cid:durableId="2040738165">
    <w:abstractNumId w:val="12"/>
  </w:num>
  <w:num w:numId="6" w16cid:durableId="1055009309">
    <w:abstractNumId w:val="4"/>
  </w:num>
  <w:num w:numId="7" w16cid:durableId="531577454">
    <w:abstractNumId w:val="2"/>
  </w:num>
  <w:num w:numId="8" w16cid:durableId="479344100">
    <w:abstractNumId w:val="3"/>
  </w:num>
  <w:num w:numId="9" w16cid:durableId="1691951606">
    <w:abstractNumId w:val="1"/>
  </w:num>
  <w:num w:numId="10" w16cid:durableId="1007750499">
    <w:abstractNumId w:val="7"/>
  </w:num>
  <w:num w:numId="11" w16cid:durableId="1336614903">
    <w:abstractNumId w:val="9"/>
  </w:num>
  <w:num w:numId="12" w16cid:durableId="545607997">
    <w:abstractNumId w:val="11"/>
  </w:num>
  <w:num w:numId="13" w16cid:durableId="974988953">
    <w:abstractNumId w:val="8"/>
  </w:num>
  <w:num w:numId="14" w16cid:durableId="638615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AE7"/>
    <w:rsid w:val="00021AD4"/>
    <w:rsid w:val="001B0EDE"/>
    <w:rsid w:val="003D166B"/>
    <w:rsid w:val="004469C5"/>
    <w:rsid w:val="00473908"/>
    <w:rsid w:val="004A37F5"/>
    <w:rsid w:val="006F1174"/>
    <w:rsid w:val="0073060C"/>
    <w:rsid w:val="007B52AD"/>
    <w:rsid w:val="00884966"/>
    <w:rsid w:val="00AE2C01"/>
    <w:rsid w:val="00BC74FE"/>
    <w:rsid w:val="00BC776F"/>
    <w:rsid w:val="00BD6AE7"/>
    <w:rsid w:val="00D7607C"/>
    <w:rsid w:val="00D83279"/>
    <w:rsid w:val="00DA75EB"/>
    <w:rsid w:val="00DB5204"/>
    <w:rsid w:val="00E562D2"/>
    <w:rsid w:val="00F02332"/>
    <w:rsid w:val="00F80A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70BA8"/>
  <w15:chartTrackingRefBased/>
  <w15:docId w15:val="{56E0C808-ADA7-E746-9499-447B45821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BD6A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BD6A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rsid w:val="00BD6A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BD6AE7"/>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BD6AE7"/>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BD6AE7"/>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BD6AE7"/>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BD6AE7"/>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BD6AE7"/>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AE7"/>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BD6AE7"/>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BD6AE7"/>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BD6AE7"/>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BD6AE7"/>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BD6AE7"/>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BD6AE7"/>
    <w:rPr>
      <w:rFonts w:cstheme="majorBidi"/>
      <w:b/>
      <w:bCs/>
      <w:color w:val="595959" w:themeColor="text1" w:themeTint="A6"/>
    </w:rPr>
  </w:style>
  <w:style w:type="character" w:customStyle="1" w:styleId="Heading8Char">
    <w:name w:val="Heading 8 Char"/>
    <w:basedOn w:val="DefaultParagraphFont"/>
    <w:link w:val="Heading8"/>
    <w:uiPriority w:val="9"/>
    <w:semiHidden/>
    <w:rsid w:val="00BD6AE7"/>
    <w:rPr>
      <w:rFonts w:cstheme="majorBidi"/>
      <w:color w:val="595959" w:themeColor="text1" w:themeTint="A6"/>
    </w:rPr>
  </w:style>
  <w:style w:type="character" w:customStyle="1" w:styleId="Heading9Char">
    <w:name w:val="Heading 9 Char"/>
    <w:basedOn w:val="DefaultParagraphFont"/>
    <w:link w:val="Heading9"/>
    <w:uiPriority w:val="9"/>
    <w:semiHidden/>
    <w:rsid w:val="00BD6AE7"/>
    <w:rPr>
      <w:rFonts w:eastAsiaTheme="majorEastAsia" w:cstheme="majorBidi"/>
      <w:color w:val="595959" w:themeColor="text1" w:themeTint="A6"/>
    </w:rPr>
  </w:style>
  <w:style w:type="paragraph" w:styleId="Title">
    <w:name w:val="Title"/>
    <w:basedOn w:val="Normal"/>
    <w:next w:val="Normal"/>
    <w:link w:val="TitleChar"/>
    <w:uiPriority w:val="10"/>
    <w:qFormat/>
    <w:rsid w:val="00BD6AE7"/>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AE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AE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D6A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D6AE7"/>
    <w:rPr>
      <w:i/>
      <w:iCs/>
      <w:color w:val="404040" w:themeColor="text1" w:themeTint="BF"/>
    </w:rPr>
  </w:style>
  <w:style w:type="paragraph" w:styleId="ListParagraph">
    <w:name w:val="List Paragraph"/>
    <w:basedOn w:val="Normal"/>
    <w:uiPriority w:val="34"/>
    <w:qFormat/>
    <w:rsid w:val="00BD6AE7"/>
    <w:pPr>
      <w:ind w:left="720"/>
      <w:contextualSpacing/>
    </w:pPr>
  </w:style>
  <w:style w:type="character" w:styleId="IntenseEmphasis">
    <w:name w:val="Intense Emphasis"/>
    <w:basedOn w:val="DefaultParagraphFont"/>
    <w:uiPriority w:val="21"/>
    <w:qFormat/>
    <w:rsid w:val="00BD6AE7"/>
    <w:rPr>
      <w:i/>
      <w:iCs/>
      <w:color w:val="0F4761" w:themeColor="accent1" w:themeShade="BF"/>
    </w:rPr>
  </w:style>
  <w:style w:type="paragraph" w:styleId="IntenseQuote">
    <w:name w:val="Intense Quote"/>
    <w:basedOn w:val="Normal"/>
    <w:next w:val="Normal"/>
    <w:link w:val="IntenseQuoteChar"/>
    <w:uiPriority w:val="30"/>
    <w:qFormat/>
    <w:rsid w:val="00BD6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AE7"/>
    <w:rPr>
      <w:i/>
      <w:iCs/>
      <w:color w:val="0F4761" w:themeColor="accent1" w:themeShade="BF"/>
    </w:rPr>
  </w:style>
  <w:style w:type="character" w:styleId="IntenseReference">
    <w:name w:val="Intense Reference"/>
    <w:basedOn w:val="DefaultParagraphFont"/>
    <w:uiPriority w:val="32"/>
    <w:qFormat/>
    <w:rsid w:val="00BD6AE7"/>
    <w:rPr>
      <w:b/>
      <w:bCs/>
      <w:smallCaps/>
      <w:color w:val="0F4761" w:themeColor="accent1" w:themeShade="BF"/>
      <w:spacing w:val="5"/>
    </w:rPr>
  </w:style>
  <w:style w:type="paragraph" w:styleId="NormalWeb">
    <w:name w:val="Normal (Web)"/>
    <w:basedOn w:val="Normal"/>
    <w:uiPriority w:val="99"/>
    <w:semiHidden/>
    <w:unhideWhenUsed/>
    <w:rsid w:val="006F1174"/>
    <w:pPr>
      <w:widowControl/>
      <w:spacing w:before="100" w:beforeAutospacing="1" w:after="100" w:afterAutospacing="1"/>
      <w:jc w:val="left"/>
    </w:pPr>
    <w:rPr>
      <w:rFonts w:ascii="SimSun" w:eastAsia="SimSun" w:hAnsi="SimSun" w:cs="SimSun"/>
      <w:kern w:val="0"/>
      <w:sz w:val="24"/>
    </w:rPr>
  </w:style>
  <w:style w:type="character" w:customStyle="1" w:styleId="apple-converted-space">
    <w:name w:val="apple-converted-space"/>
    <w:basedOn w:val="DefaultParagraphFont"/>
    <w:rsid w:val="006F1174"/>
  </w:style>
  <w:style w:type="character" w:styleId="CommentReference">
    <w:name w:val="annotation reference"/>
    <w:basedOn w:val="DefaultParagraphFont"/>
    <w:uiPriority w:val="99"/>
    <w:semiHidden/>
    <w:unhideWhenUsed/>
    <w:rsid w:val="003D166B"/>
    <w:rPr>
      <w:sz w:val="21"/>
      <w:szCs w:val="21"/>
    </w:rPr>
  </w:style>
  <w:style w:type="paragraph" w:styleId="CommentText">
    <w:name w:val="annotation text"/>
    <w:basedOn w:val="Normal"/>
    <w:link w:val="CommentTextChar"/>
    <w:uiPriority w:val="99"/>
    <w:semiHidden/>
    <w:unhideWhenUsed/>
    <w:rsid w:val="003D166B"/>
    <w:pPr>
      <w:jc w:val="left"/>
    </w:pPr>
  </w:style>
  <w:style w:type="character" w:customStyle="1" w:styleId="CommentTextChar">
    <w:name w:val="Comment Text Char"/>
    <w:basedOn w:val="DefaultParagraphFont"/>
    <w:link w:val="CommentText"/>
    <w:uiPriority w:val="99"/>
    <w:semiHidden/>
    <w:rsid w:val="003D166B"/>
  </w:style>
  <w:style w:type="paragraph" w:styleId="CommentSubject">
    <w:name w:val="annotation subject"/>
    <w:basedOn w:val="CommentText"/>
    <w:next w:val="CommentText"/>
    <w:link w:val="CommentSubjectChar"/>
    <w:uiPriority w:val="99"/>
    <w:semiHidden/>
    <w:unhideWhenUsed/>
    <w:rsid w:val="003D166B"/>
    <w:rPr>
      <w:b/>
      <w:bCs/>
    </w:rPr>
  </w:style>
  <w:style w:type="character" w:customStyle="1" w:styleId="CommentSubjectChar">
    <w:name w:val="Comment Subject Char"/>
    <w:basedOn w:val="CommentTextChar"/>
    <w:link w:val="CommentSubject"/>
    <w:uiPriority w:val="99"/>
    <w:semiHidden/>
    <w:rsid w:val="003D166B"/>
    <w:rPr>
      <w:b/>
      <w:bCs/>
    </w:rPr>
  </w:style>
  <w:style w:type="character" w:styleId="PlaceholderText">
    <w:name w:val="Placeholder Text"/>
    <w:basedOn w:val="DefaultParagraphFont"/>
    <w:uiPriority w:val="99"/>
    <w:semiHidden/>
    <w:rsid w:val="007B52A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1100</Words>
  <Characters>6273</Characters>
  <Application>Microsoft Office Word</Application>
  <DocSecurity>0</DocSecurity>
  <Lines>52</Lines>
  <Paragraphs>14</Paragraphs>
  <ScaleCrop>false</ScaleCrop>
  <Company/>
  <LinksUpToDate>false</LinksUpToDate>
  <CharactersWithSpaces>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Dahai</dc:creator>
  <cp:keywords/>
  <dc:description/>
  <cp:lastModifiedBy>Ji Zhangrui</cp:lastModifiedBy>
  <cp:revision>3</cp:revision>
  <dcterms:created xsi:type="dcterms:W3CDTF">2026-03-03T20:20:00Z</dcterms:created>
  <dcterms:modified xsi:type="dcterms:W3CDTF">2026-03-03T20:28:00Z</dcterms:modified>
</cp:coreProperties>
</file>