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3BC288" w14:textId="77777777" w:rsidR="006F1174" w:rsidRPr="006F1174" w:rsidRDefault="006F1174" w:rsidP="006F1174">
      <w:pPr>
        <w:widowControl/>
        <w:spacing w:before="100" w:beforeAutospacing="1" w:after="100" w:afterAutospacing="1"/>
        <w:jc w:val="left"/>
        <w:outlineLvl w:val="0"/>
        <w:rPr>
          <w:rFonts w:ascii="Arial" w:eastAsia="宋体" w:hAnsi="Arial" w:cs="Arial"/>
          <w:b/>
          <w:bCs/>
          <w:color w:val="000000"/>
          <w:kern w:val="36"/>
          <w:sz w:val="48"/>
          <w:szCs w:val="48"/>
        </w:rPr>
      </w:pPr>
      <w:r w:rsidRPr="006F1174">
        <w:rPr>
          <w:rFonts w:ascii="Arial" w:eastAsia="宋体" w:hAnsi="Arial" w:cs="Arial"/>
          <w:b/>
          <w:bCs/>
          <w:color w:val="000000"/>
          <w:kern w:val="36"/>
          <w:sz w:val="48"/>
          <w:szCs w:val="48"/>
        </w:rPr>
        <w:t>Project Proposal (Revised Comprehensive Version)</w:t>
      </w:r>
    </w:p>
    <w:p w14:paraId="71A2C055" w14:textId="77777777" w:rsidR="006F1174" w:rsidRP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1. Client and Decision Context (Real-World Setting)</w:t>
      </w:r>
    </w:p>
    <w:p w14:paraId="0BB9706C"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We consider an upstream oil and gas producer as the primary client of this project. Upstream firms undertake capital-intensive and partially irreversible investment decisions in exploration and field development projects. These decisions typically involve substantial upfront expenditures and multi-year production lifecycles. As a result, long-term oil price expectations play a central role in determining project feasibility and investment timing.</w:t>
      </w:r>
    </w:p>
    <w:p w14:paraId="641A9628"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Oil price forecasts enter directly into discounted cash flow (DCF) models used to evaluate prospective projects. Forecasted future prices determine projected revenues, which in turn affect net present value (NPV), internal rate of return (IRR), and final investment decisions (FID). Because upstream projects often require several years between capital commitment and production, firms rely on multi-year price projections rather than short-term forecasts.</w:t>
      </w:r>
    </w:p>
    <w:p w14:paraId="6AFF5BD6"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Systematic forecast errors may have material consequences. Persistently optimistic projections can lead to overinvestment during high-price regimes, followed by asset impairments if realized prices fall short. Conversely, pessimistic forecasts may delay or cancel projects that would have been profitable. Therefore, evaluating the reliability and bias of long-term oil price forecasts is directly relevant to capital allocation efficiency and long-run firm performance.</w:t>
      </w:r>
    </w:p>
    <w:p w14:paraId="617322BE" w14:textId="77777777" w:rsidR="006F1174" w:rsidRPr="006F1174" w:rsidRDefault="00884966" w:rsidP="006F1174">
      <w:pPr>
        <w:widowControl/>
        <w:jc w:val="left"/>
        <w:rPr>
          <w:rFonts w:ascii="Arial" w:eastAsia="宋体" w:hAnsi="Arial" w:cs="Arial"/>
          <w:kern w:val="0"/>
          <w:sz w:val="24"/>
        </w:rPr>
      </w:pPr>
      <w:r>
        <w:rPr>
          <w:rFonts w:ascii="Arial" w:eastAsia="宋体" w:hAnsi="Arial" w:cs="Arial"/>
          <w:noProof/>
          <w:kern w:val="0"/>
          <w:sz w:val="24"/>
        </w:rPr>
        <w:pict w14:anchorId="685223FF">
          <v:rect id="_x0000_i1035" alt="" style="width:415.3pt;height:.05pt;mso-width-percent:0;mso-height-percent:0;mso-width-percent:0;mso-height-percent:0" o:hralign="center" o:hrstd="t" o:hr="t" fillcolor="#a0a0a0" stroked="f"/>
        </w:pict>
      </w:r>
    </w:p>
    <w:p w14:paraId="1908B28F" w14:textId="77777777" w:rsidR="006F1174" w:rsidRP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2. Definition of Long-Term Forecast Horizon</w:t>
      </w:r>
    </w:p>
    <w:p w14:paraId="7DB6E220"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In this project, “long-term” forecasts are defined as three-year-ahead and five-year-ahead projections of annual average oil prices.</w:t>
      </w:r>
    </w:p>
    <w:p w14:paraId="6C0DDF15"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This horizon aligns with upstream capital planning cycles. While some large-scale projects extend beyond five years, many drilling and development programs require multi-year planning prior to production. The 3–5 year window captures the period during which investment commitments are made and capital expenditures become partially irreversible.</w:t>
      </w:r>
    </w:p>
    <w:p w14:paraId="6B341366"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lastRenderedPageBreak/>
        <w:t>At the same time, this horizon remains feasible in terms of historical forecast availability and allows for meaningful out-of-sample evaluation.</w:t>
      </w:r>
    </w:p>
    <w:p w14:paraId="47D92A1D" w14:textId="77777777" w:rsidR="006F1174" w:rsidRPr="006F1174" w:rsidRDefault="00884966" w:rsidP="006F1174">
      <w:pPr>
        <w:widowControl/>
        <w:jc w:val="left"/>
        <w:rPr>
          <w:rFonts w:ascii="Arial" w:eastAsia="宋体" w:hAnsi="Arial" w:cs="Arial"/>
          <w:kern w:val="0"/>
          <w:sz w:val="24"/>
        </w:rPr>
      </w:pPr>
      <w:r>
        <w:rPr>
          <w:rFonts w:ascii="Arial" w:eastAsia="宋体" w:hAnsi="Arial" w:cs="Arial"/>
          <w:noProof/>
          <w:kern w:val="0"/>
          <w:sz w:val="24"/>
        </w:rPr>
        <w:pict w14:anchorId="6D645677">
          <v:rect id="_x0000_i1034" alt="" style="width:415.3pt;height:.05pt;mso-width-percent:0;mso-height-percent:0;mso-width-percent:0;mso-height-percent:0" o:hralign="center" o:hrstd="t" o:hr="t" fillcolor="#a0a0a0" stroked="f"/>
        </w:pict>
      </w:r>
    </w:p>
    <w:p w14:paraId="71317053" w14:textId="77777777" w:rsidR="006F1174" w:rsidRP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3. Forecast Objects: Price Definition, Providers, and Format</w:t>
      </w:r>
    </w:p>
    <w:p w14:paraId="10AF1F89" w14:textId="77777777" w:rsidR="006F1174" w:rsidRPr="006F1174" w:rsidRDefault="006F1174" w:rsidP="006F1174">
      <w:pPr>
        <w:widowControl/>
        <w:spacing w:before="100" w:beforeAutospacing="1" w:after="100" w:afterAutospacing="1"/>
        <w:jc w:val="left"/>
        <w:outlineLvl w:val="2"/>
        <w:rPr>
          <w:rFonts w:ascii="Arial" w:eastAsia="宋体" w:hAnsi="Arial" w:cs="Arial"/>
          <w:b/>
          <w:bCs/>
          <w:color w:val="000000"/>
          <w:kern w:val="0"/>
          <w:sz w:val="27"/>
          <w:szCs w:val="27"/>
        </w:rPr>
      </w:pPr>
      <w:r w:rsidRPr="006F1174">
        <w:rPr>
          <w:rFonts w:ascii="Arial" w:eastAsia="宋体" w:hAnsi="Arial" w:cs="Arial"/>
          <w:b/>
          <w:bCs/>
          <w:color w:val="000000"/>
          <w:kern w:val="0"/>
          <w:sz w:val="27"/>
          <w:szCs w:val="27"/>
        </w:rPr>
        <w:t>Price Definition</w:t>
      </w:r>
    </w:p>
    <w:p w14:paraId="29597628"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 xml:space="preserve">The object of evaluation is the annual average Brent crude oil spot price, measured in </w:t>
      </w:r>
      <w:commentRangeStart w:id="0"/>
      <w:r w:rsidRPr="006F1174">
        <w:rPr>
          <w:rFonts w:ascii="Arial" w:eastAsia="宋体" w:hAnsi="Arial" w:cs="Arial"/>
          <w:color w:val="000000"/>
          <w:kern w:val="0"/>
          <w:sz w:val="24"/>
        </w:rPr>
        <w:t>nominal U.S. dollars per barrel.</w:t>
      </w:r>
      <w:commentRangeEnd w:id="0"/>
      <w:r w:rsidR="003D166B">
        <w:rPr>
          <w:rStyle w:val="af"/>
        </w:rPr>
        <w:commentReference w:id="0"/>
      </w:r>
    </w:p>
    <w:p w14:paraId="68169686" w14:textId="77777777" w:rsidR="006F1174" w:rsidRPr="003D166B" w:rsidRDefault="006F1174" w:rsidP="006F1174">
      <w:pPr>
        <w:widowControl/>
        <w:spacing w:before="100" w:beforeAutospacing="1" w:after="100" w:afterAutospacing="1"/>
        <w:jc w:val="left"/>
        <w:rPr>
          <w:rFonts w:ascii="Arial" w:eastAsia="宋体" w:hAnsi="Arial" w:cs="Arial"/>
          <w:strike/>
          <w:color w:val="000000"/>
          <w:kern w:val="0"/>
          <w:sz w:val="24"/>
        </w:rPr>
      </w:pPr>
      <w:r w:rsidRPr="006F1174">
        <w:rPr>
          <w:rFonts w:ascii="Arial" w:eastAsia="宋体" w:hAnsi="Arial" w:cs="Arial"/>
          <w:color w:val="000000"/>
          <w:kern w:val="0"/>
          <w:sz w:val="24"/>
        </w:rPr>
        <w:t xml:space="preserve">Brent is widely recognized as the global benchmark crude oil price and is commonly referenced in institutional outlook reports. Using annual averages ensures consistency with upstream investment models, which rely on annual revenue projections in DCF analysis. </w:t>
      </w:r>
      <w:r w:rsidRPr="003D166B">
        <w:rPr>
          <w:rFonts w:ascii="Arial" w:eastAsia="宋体" w:hAnsi="Arial" w:cs="Arial"/>
          <w:strike/>
          <w:color w:val="000000"/>
          <w:kern w:val="0"/>
          <w:sz w:val="24"/>
        </w:rPr>
        <w:t>Evaluating forecasts in nominal terms maintains alignment with institutional reporting conventions and avoids additional transformation noise from inflation adjustments.</w:t>
      </w:r>
    </w:p>
    <w:p w14:paraId="45998326" w14:textId="77777777" w:rsidR="006F1174" w:rsidRPr="006F1174" w:rsidRDefault="00884966" w:rsidP="006F1174">
      <w:pPr>
        <w:widowControl/>
        <w:jc w:val="left"/>
        <w:rPr>
          <w:rFonts w:ascii="Arial" w:eastAsia="宋体" w:hAnsi="Arial" w:cs="Arial"/>
          <w:kern w:val="0"/>
          <w:sz w:val="24"/>
        </w:rPr>
      </w:pPr>
      <w:r>
        <w:rPr>
          <w:rFonts w:ascii="Arial" w:eastAsia="宋体" w:hAnsi="Arial" w:cs="Arial"/>
          <w:noProof/>
          <w:kern w:val="0"/>
          <w:sz w:val="24"/>
        </w:rPr>
        <w:pict w14:anchorId="65A4A305">
          <v:rect id="_x0000_i1033" alt="" style="width:415.3pt;height:.05pt;mso-width-percent:0;mso-height-percent:0;mso-width-percent:0;mso-height-percent:0" o:hralign="center" o:hrstd="t" o:hr="t" fillcolor="#a0a0a0" stroked="f"/>
        </w:pict>
      </w:r>
    </w:p>
    <w:p w14:paraId="2D4914EF" w14:textId="77777777" w:rsidR="006F1174" w:rsidRPr="006F1174" w:rsidRDefault="006F1174" w:rsidP="006F1174">
      <w:pPr>
        <w:widowControl/>
        <w:spacing w:before="100" w:beforeAutospacing="1" w:after="100" w:afterAutospacing="1"/>
        <w:jc w:val="left"/>
        <w:outlineLvl w:val="2"/>
        <w:rPr>
          <w:rFonts w:ascii="Arial" w:eastAsia="宋体" w:hAnsi="Arial" w:cs="Arial"/>
          <w:b/>
          <w:bCs/>
          <w:color w:val="000000"/>
          <w:kern w:val="0"/>
          <w:sz w:val="27"/>
          <w:szCs w:val="27"/>
        </w:rPr>
      </w:pPr>
      <w:r w:rsidRPr="006F1174">
        <w:rPr>
          <w:rFonts w:ascii="Arial" w:eastAsia="宋体" w:hAnsi="Arial" w:cs="Arial"/>
          <w:b/>
          <w:bCs/>
          <w:color w:val="000000"/>
          <w:kern w:val="0"/>
          <w:sz w:val="27"/>
          <w:szCs w:val="27"/>
        </w:rPr>
        <w:t>Forecast Providers</w:t>
      </w:r>
    </w:p>
    <w:p w14:paraId="67B4DD47"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We focus on a limited set of major institutional providers whose forecasts are publicly documented and historically accessible:</w:t>
      </w:r>
    </w:p>
    <w:p w14:paraId="2099DF6F" w14:textId="77777777" w:rsidR="006F1174" w:rsidRPr="006F1174" w:rsidRDefault="006F1174" w:rsidP="006F1174">
      <w:pPr>
        <w:widowControl/>
        <w:numPr>
          <w:ilvl w:val="0"/>
          <w:numId w:val="1"/>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U.S. Energy Information Administration (EIA)</w:t>
      </w:r>
    </w:p>
    <w:p w14:paraId="4A1D7BB7" w14:textId="77777777" w:rsidR="006F1174" w:rsidRPr="006F1174" w:rsidRDefault="006F1174" w:rsidP="006F1174">
      <w:pPr>
        <w:widowControl/>
        <w:numPr>
          <w:ilvl w:val="0"/>
          <w:numId w:val="1"/>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International Energy Agency (IEA)</w:t>
      </w:r>
    </w:p>
    <w:p w14:paraId="682005E0" w14:textId="77777777" w:rsidR="006F1174" w:rsidRPr="006F1174" w:rsidRDefault="006F1174" w:rsidP="006F1174">
      <w:pPr>
        <w:widowControl/>
        <w:numPr>
          <w:ilvl w:val="0"/>
          <w:numId w:val="1"/>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World Bank</w:t>
      </w:r>
    </w:p>
    <w:p w14:paraId="2F8E5FE2"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These institutions represent distinct forecasting frameworks and are plausible reference sources for upstream firms. Limiting the number of providers ensures comparability and feasibility while allowing cross-institution analysis of systematic bias.</w:t>
      </w:r>
    </w:p>
    <w:p w14:paraId="04011E19" w14:textId="77777777" w:rsidR="006F1174" w:rsidRPr="006F1174" w:rsidRDefault="00884966" w:rsidP="006F1174">
      <w:pPr>
        <w:widowControl/>
        <w:jc w:val="left"/>
        <w:rPr>
          <w:rFonts w:ascii="Arial" w:eastAsia="宋体" w:hAnsi="Arial" w:cs="Arial"/>
          <w:kern w:val="0"/>
          <w:sz w:val="24"/>
        </w:rPr>
      </w:pPr>
      <w:r>
        <w:rPr>
          <w:rFonts w:ascii="Arial" w:eastAsia="宋体" w:hAnsi="Arial" w:cs="Arial"/>
          <w:noProof/>
          <w:kern w:val="0"/>
          <w:sz w:val="24"/>
        </w:rPr>
        <w:pict w14:anchorId="72615B57">
          <v:rect id="_x0000_i1032" alt="" style="width:415.3pt;height:.05pt;mso-width-percent:0;mso-height-percent:0;mso-width-percent:0;mso-height-percent:0" o:hralign="center" o:hrstd="t" o:hr="t" fillcolor="#a0a0a0" stroked="f"/>
        </w:pict>
      </w:r>
    </w:p>
    <w:p w14:paraId="39EC5304" w14:textId="77777777" w:rsidR="006F1174" w:rsidRPr="006F1174" w:rsidRDefault="006F1174" w:rsidP="006F1174">
      <w:pPr>
        <w:widowControl/>
        <w:spacing w:before="100" w:beforeAutospacing="1" w:after="100" w:afterAutospacing="1"/>
        <w:jc w:val="left"/>
        <w:outlineLvl w:val="2"/>
        <w:rPr>
          <w:rFonts w:ascii="Arial" w:eastAsia="宋体" w:hAnsi="Arial" w:cs="Arial"/>
          <w:b/>
          <w:bCs/>
          <w:color w:val="000000"/>
          <w:kern w:val="0"/>
          <w:sz w:val="27"/>
          <w:szCs w:val="27"/>
        </w:rPr>
      </w:pPr>
      <w:r w:rsidRPr="006F1174">
        <w:rPr>
          <w:rFonts w:ascii="Arial" w:eastAsia="宋体" w:hAnsi="Arial" w:cs="Arial"/>
          <w:b/>
          <w:bCs/>
          <w:color w:val="000000"/>
          <w:kern w:val="0"/>
          <w:sz w:val="27"/>
          <w:szCs w:val="27"/>
        </w:rPr>
        <w:t>Forecast Format</w:t>
      </w:r>
    </w:p>
    <w:p w14:paraId="3A398131"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To ensure comparability across institutions, we restrict attention to baseline point forecasts rather than scenario-based or interval projections.</w:t>
      </w:r>
    </w:p>
    <w:p w14:paraId="4B1E0C3E"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lastRenderedPageBreak/>
        <w:t>Point forecasts allow consistent computation of forecast error metrics and avoid subjective scenario selection. For each publication year (vintage year), we extract projections for the annual average Brent price in years </w:t>
      </w:r>
      <m:oMath>
        <m:r>
          <w:rPr>
            <w:rFonts w:ascii="Cambria Math" w:eastAsia="宋体" w:hAnsi="Cambria Math" w:cs="Arial"/>
            <w:kern w:val="0"/>
            <w:sz w:val="24"/>
          </w:rPr>
          <m:t>t+3</m:t>
        </m:r>
      </m:oMath>
      <w:r w:rsidRPr="006F1174">
        <w:rPr>
          <w:rFonts w:ascii="Arial" w:eastAsia="宋体" w:hAnsi="Arial" w:cs="Arial"/>
          <w:color w:val="000000"/>
          <w:kern w:val="0"/>
          <w:sz w:val="24"/>
        </w:rPr>
        <w:t> and </w:t>
      </w:r>
      <m:oMath>
        <m:r>
          <w:rPr>
            <w:rFonts w:ascii="Cambria Math" w:eastAsia="宋体" w:hAnsi="Cambria Math" w:cs="Arial"/>
            <w:kern w:val="0"/>
            <w:sz w:val="24"/>
          </w:rPr>
          <m:t>t+5</m:t>
        </m:r>
      </m:oMath>
      <w:r w:rsidRPr="006F1174">
        <w:rPr>
          <w:rFonts w:ascii="Arial" w:eastAsia="宋体" w:hAnsi="Arial" w:cs="Arial"/>
          <w:color w:val="000000"/>
          <w:kern w:val="0"/>
          <w:sz w:val="24"/>
        </w:rPr>
        <w:t>.</w:t>
      </w:r>
    </w:p>
    <w:p w14:paraId="5AC87F63"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Each forecast will be aligned by vintage, ensuring that evaluation reflects information available at the time the forecast was issued.</w:t>
      </w:r>
    </w:p>
    <w:p w14:paraId="58CBE323" w14:textId="77777777" w:rsidR="006F1174" w:rsidRPr="006F1174" w:rsidRDefault="00884966" w:rsidP="006F1174">
      <w:pPr>
        <w:widowControl/>
        <w:jc w:val="left"/>
        <w:rPr>
          <w:rFonts w:ascii="Arial" w:eastAsia="宋体" w:hAnsi="Arial" w:cs="Arial"/>
          <w:kern w:val="0"/>
          <w:sz w:val="24"/>
        </w:rPr>
      </w:pPr>
      <w:r>
        <w:rPr>
          <w:rFonts w:ascii="Arial" w:eastAsia="宋体" w:hAnsi="Arial" w:cs="Arial"/>
          <w:noProof/>
          <w:kern w:val="0"/>
          <w:sz w:val="24"/>
        </w:rPr>
        <w:pict w14:anchorId="0D915BFD">
          <v:rect id="_x0000_i1031" alt="" style="width:415.3pt;height:.05pt;mso-width-percent:0;mso-height-percent:0;mso-width-percent:0;mso-height-percent:0" o:hralign="center" o:hrstd="t" o:hr="t" fillcolor="#a0a0a0" stroked="f"/>
        </w:pict>
      </w:r>
    </w:p>
    <w:p w14:paraId="20D59E51" w14:textId="77777777" w:rsidR="006F1174" w:rsidRP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4. Evaluation Design</w:t>
      </w:r>
    </w:p>
    <w:p w14:paraId="3E2752C8"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For each vintage year </w:t>
      </w:r>
      <m:oMath>
        <m:r>
          <w:rPr>
            <w:rFonts w:ascii="Cambria Math" w:eastAsia="宋体" w:hAnsi="Cambria Math" w:cs="Arial"/>
            <w:kern w:val="0"/>
            <w:sz w:val="24"/>
          </w:rPr>
          <m:t>t</m:t>
        </m:r>
      </m:oMath>
      <w:r w:rsidRPr="006F1174">
        <w:rPr>
          <w:rFonts w:ascii="Arial" w:eastAsia="宋体" w:hAnsi="Arial" w:cs="Arial"/>
          <w:color w:val="000000"/>
          <w:kern w:val="0"/>
          <w:sz w:val="24"/>
        </w:rPr>
        <w:t> and horizon </w:t>
      </w:r>
      <m:oMath>
        <m:r>
          <w:rPr>
            <w:rFonts w:ascii="Cambria Math" w:eastAsia="宋体" w:hAnsi="Cambria Math" w:cs="Arial"/>
            <w:kern w:val="0"/>
            <w:sz w:val="24"/>
          </w:rPr>
          <m:t>s∈{3,5}</m:t>
        </m:r>
      </m:oMath>
      <w:r w:rsidRPr="006F1174">
        <w:rPr>
          <w:rFonts w:ascii="Arial" w:eastAsia="宋体" w:hAnsi="Arial" w:cs="Arial"/>
          <w:color w:val="000000"/>
          <w:kern w:val="0"/>
          <w:sz w:val="24"/>
        </w:rPr>
        <w:t>, forecast error is defined as:</w:t>
      </w:r>
    </w:p>
    <w:p w14:paraId="059F95D5" w14:textId="77777777" w:rsidR="006F1174" w:rsidRPr="006F1174" w:rsidRDefault="00000000" w:rsidP="006F1174">
      <w:pPr>
        <w:widowControl/>
        <w:jc w:val="left"/>
        <w:rPr>
          <w:rFonts w:ascii="Arial" w:eastAsia="宋体" w:hAnsi="Arial" w:cs="Arial"/>
          <w:kern w:val="0"/>
          <w:sz w:val="24"/>
        </w:rPr>
      </w:pPr>
      <m:oMathPara>
        <m:oMath>
          <m:sSub>
            <m:sSubPr>
              <m:ctrlPr>
                <w:rPr>
                  <w:rFonts w:ascii="Cambria Math" w:eastAsia="宋体" w:hAnsi="Cambria Math" w:cs="Arial"/>
                  <w:kern w:val="0"/>
                  <w:sz w:val="24"/>
                </w:rPr>
              </m:ctrlPr>
            </m:sSubPr>
            <m:e>
              <m:r>
                <w:rPr>
                  <w:rFonts w:ascii="Cambria Math" w:eastAsia="宋体" w:hAnsi="Cambria Math" w:cs="Arial"/>
                  <w:kern w:val="0"/>
                  <w:sz w:val="24"/>
                </w:rPr>
                <m:t>e</m:t>
              </m:r>
            </m:e>
            <m:sub>
              <m:r>
                <w:rPr>
                  <w:rFonts w:ascii="Cambria Math" w:eastAsia="宋体" w:hAnsi="Cambria Math" w:cs="Arial"/>
                  <w:kern w:val="0"/>
                  <w:sz w:val="24"/>
                </w:rPr>
                <m:t>t,s</m:t>
              </m:r>
            </m:sub>
          </m:sSub>
          <m:r>
            <w:rPr>
              <w:rFonts w:ascii="Cambria Math" w:eastAsia="宋体" w:hAnsi="Cambria Math" w:cs="Arial"/>
              <w:kern w:val="0"/>
              <w:sz w:val="24"/>
            </w:rPr>
            <m:t>=</m:t>
          </m:r>
          <m:sSub>
            <m:sSubPr>
              <m:ctrlPr>
                <w:rPr>
                  <w:rFonts w:ascii="Cambria Math" w:eastAsia="宋体" w:hAnsi="Cambria Math" w:cs="Arial"/>
                  <w:kern w:val="0"/>
                  <w:sz w:val="24"/>
                </w:rPr>
              </m:ctrlPr>
            </m:sSubPr>
            <m:e>
              <m:acc>
                <m:accPr>
                  <m:ctrlPr>
                    <w:rPr>
                      <w:rFonts w:ascii="Cambria Math" w:eastAsia="宋体" w:hAnsi="Cambria Math" w:cs="Arial"/>
                      <w:kern w:val="0"/>
                      <w:sz w:val="24"/>
                    </w:rPr>
                  </m:ctrlPr>
                </m:accPr>
                <m:e>
                  <m:r>
                    <w:rPr>
                      <w:rFonts w:ascii="Cambria Math" w:eastAsia="宋体" w:hAnsi="Cambria Math" w:cs="Arial"/>
                      <w:kern w:val="0"/>
                      <w:sz w:val="24"/>
                    </w:rPr>
                    <m:t>P</m:t>
                  </m:r>
                </m:e>
              </m:acc>
            </m:e>
            <m:sub>
              <m:r>
                <w:rPr>
                  <w:rFonts w:ascii="Cambria Math" w:eastAsia="宋体" w:hAnsi="Cambria Math" w:cs="Arial"/>
                  <w:kern w:val="0"/>
                  <w:sz w:val="24"/>
                </w:rPr>
                <m:t>t,t+s</m:t>
              </m:r>
            </m:sub>
          </m:sSub>
          <m:r>
            <w:rPr>
              <w:rFonts w:ascii="Cambria Math" w:eastAsia="宋体" w:hAnsi="Cambria Math" w:cs="Arial"/>
              <w:kern w:val="0"/>
              <w:sz w:val="24"/>
            </w:rPr>
            <m:t>-</m:t>
          </m:r>
          <m:sSub>
            <m:sSubPr>
              <m:ctrlPr>
                <w:rPr>
                  <w:rFonts w:ascii="Cambria Math" w:eastAsia="宋体" w:hAnsi="Cambria Math" w:cs="Arial"/>
                  <w:kern w:val="0"/>
                  <w:sz w:val="24"/>
                </w:rPr>
              </m:ctrlPr>
            </m:sSubPr>
            <m:e>
              <m:r>
                <w:rPr>
                  <w:rFonts w:ascii="Cambria Math" w:eastAsia="宋体" w:hAnsi="Cambria Math" w:cs="Arial"/>
                  <w:kern w:val="0"/>
                  <w:sz w:val="24"/>
                </w:rPr>
                <m:t>P</m:t>
              </m:r>
            </m:e>
            <m:sub>
              <m:r>
                <w:rPr>
                  <w:rFonts w:ascii="Cambria Math" w:eastAsia="宋体" w:hAnsi="Cambria Math" w:cs="Arial"/>
                  <w:kern w:val="0"/>
                  <w:sz w:val="24"/>
                </w:rPr>
                <m:t>t+s</m:t>
              </m:r>
            </m:sub>
          </m:sSub>
          <m:r>
            <m:rPr>
              <m:sty m:val="p"/>
            </m:rPr>
            <w:rPr>
              <w:rFonts w:ascii="Arial" w:eastAsia="宋体" w:hAnsi="Arial" w:cs="Arial"/>
              <w:kern w:val="0"/>
              <w:sz w:val="24"/>
            </w:rPr>
            <w:br/>
          </m:r>
        </m:oMath>
      </m:oMathPara>
    </w:p>
    <w:p w14:paraId="5643B151"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where </w:t>
      </w:r>
      <m:oMath>
        <m:sSub>
          <m:sSubPr>
            <m:ctrlPr>
              <w:rPr>
                <w:rFonts w:ascii="Cambria Math" w:eastAsia="宋体" w:hAnsi="Cambria Math" w:cs="Arial"/>
                <w:kern w:val="0"/>
                <w:sz w:val="24"/>
              </w:rPr>
            </m:ctrlPr>
          </m:sSubPr>
          <m:e>
            <m:acc>
              <m:accPr>
                <m:ctrlPr>
                  <w:rPr>
                    <w:rFonts w:ascii="Cambria Math" w:eastAsia="宋体" w:hAnsi="Cambria Math" w:cs="Arial"/>
                    <w:kern w:val="0"/>
                    <w:sz w:val="24"/>
                  </w:rPr>
                </m:ctrlPr>
              </m:accPr>
              <m:e>
                <m:r>
                  <w:rPr>
                    <w:rFonts w:ascii="Cambria Math" w:eastAsia="宋体" w:hAnsi="Cambria Math" w:cs="Arial"/>
                    <w:kern w:val="0"/>
                    <w:sz w:val="24"/>
                  </w:rPr>
                  <m:t>P</m:t>
                </m:r>
              </m:e>
            </m:acc>
          </m:e>
          <m:sub>
            <m:r>
              <w:rPr>
                <w:rFonts w:ascii="Cambria Math" w:eastAsia="宋体" w:hAnsi="Cambria Math" w:cs="Arial"/>
                <w:kern w:val="0"/>
                <w:sz w:val="24"/>
              </w:rPr>
              <m:t>t,t+s</m:t>
            </m:r>
          </m:sub>
        </m:sSub>
      </m:oMath>
      <w:r w:rsidRPr="006F1174">
        <w:rPr>
          <w:rFonts w:ascii="Arial" w:eastAsia="宋体" w:hAnsi="Arial" w:cs="Arial"/>
          <w:color w:val="000000"/>
          <w:kern w:val="0"/>
          <w:sz w:val="24"/>
        </w:rPr>
        <w:t> denotes the forecast issued in year </w:t>
      </w:r>
      <m:oMath>
        <m:r>
          <w:rPr>
            <w:rFonts w:ascii="Cambria Math" w:eastAsia="宋体" w:hAnsi="Cambria Math" w:cs="Arial"/>
            <w:kern w:val="0"/>
            <w:sz w:val="24"/>
          </w:rPr>
          <m:t>t</m:t>
        </m:r>
      </m:oMath>
      <w:r w:rsidRPr="006F1174">
        <w:rPr>
          <w:rFonts w:ascii="Arial" w:eastAsia="宋体" w:hAnsi="Arial" w:cs="Arial"/>
          <w:color w:val="000000"/>
          <w:kern w:val="0"/>
          <w:sz w:val="24"/>
        </w:rPr>
        <w:t> for year </w:t>
      </w:r>
      <m:oMath>
        <m:r>
          <w:rPr>
            <w:rFonts w:ascii="Cambria Math" w:eastAsia="宋体" w:hAnsi="Cambria Math" w:cs="Arial"/>
            <w:kern w:val="0"/>
            <w:sz w:val="24"/>
          </w:rPr>
          <m:t>t+s</m:t>
        </m:r>
      </m:oMath>
      <w:r w:rsidRPr="006F1174">
        <w:rPr>
          <w:rFonts w:ascii="Arial" w:eastAsia="宋体" w:hAnsi="Arial" w:cs="Arial"/>
          <w:color w:val="000000"/>
          <w:kern w:val="0"/>
          <w:sz w:val="24"/>
        </w:rPr>
        <w:t>, and </w:t>
      </w:r>
      <m:oMath>
        <m:sSub>
          <m:sSubPr>
            <m:ctrlPr>
              <w:rPr>
                <w:rFonts w:ascii="Cambria Math" w:eastAsia="宋体" w:hAnsi="Cambria Math" w:cs="Arial"/>
                <w:kern w:val="0"/>
                <w:sz w:val="24"/>
              </w:rPr>
            </m:ctrlPr>
          </m:sSubPr>
          <m:e>
            <m:r>
              <w:rPr>
                <w:rFonts w:ascii="Cambria Math" w:eastAsia="宋体" w:hAnsi="Cambria Math" w:cs="Arial"/>
                <w:kern w:val="0"/>
                <w:sz w:val="24"/>
              </w:rPr>
              <m:t>P</m:t>
            </m:r>
          </m:e>
          <m:sub>
            <m:r>
              <w:rPr>
                <w:rFonts w:ascii="Cambria Math" w:eastAsia="宋体" w:hAnsi="Cambria Math" w:cs="Arial"/>
                <w:kern w:val="0"/>
                <w:sz w:val="24"/>
              </w:rPr>
              <m:t>t+s</m:t>
            </m:r>
          </m:sub>
        </m:sSub>
      </m:oMath>
      <w:r w:rsidRPr="006F1174">
        <w:rPr>
          <w:rFonts w:ascii="Arial" w:eastAsia="宋体" w:hAnsi="Arial" w:cs="Arial"/>
          <w:color w:val="000000"/>
          <w:kern w:val="0"/>
          <w:sz w:val="24"/>
        </w:rPr>
        <w:t> is the realized annual average Brent price.</w:t>
      </w:r>
    </w:p>
    <w:p w14:paraId="7DF65F51"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Forecast performance will be assessed using:</w:t>
      </w:r>
    </w:p>
    <w:p w14:paraId="6FB3A008" w14:textId="77777777" w:rsidR="006F1174" w:rsidRPr="006F1174" w:rsidRDefault="006F1174" w:rsidP="006F1174">
      <w:pPr>
        <w:widowControl/>
        <w:numPr>
          <w:ilvl w:val="0"/>
          <w:numId w:val="2"/>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Mean Error (ME) to evaluate systematic bias,</w:t>
      </w:r>
    </w:p>
    <w:p w14:paraId="590F4B9D" w14:textId="77777777" w:rsidR="006F1174" w:rsidRPr="006F1174" w:rsidRDefault="006F1174" w:rsidP="006F1174">
      <w:pPr>
        <w:widowControl/>
        <w:numPr>
          <w:ilvl w:val="0"/>
          <w:numId w:val="2"/>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Mean Absolute Error (MAE),</w:t>
      </w:r>
    </w:p>
    <w:p w14:paraId="3AD4B7DA" w14:textId="77777777" w:rsidR="006F1174" w:rsidRPr="006F1174" w:rsidRDefault="006F1174" w:rsidP="006F1174">
      <w:pPr>
        <w:widowControl/>
        <w:numPr>
          <w:ilvl w:val="0"/>
          <w:numId w:val="2"/>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Root Mean Squared Error (RMSE).</w:t>
      </w:r>
    </w:p>
    <w:p w14:paraId="0D9DFCAA"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To assess whether institutional forecasts provide value beyond naive expectations, we compare them to a random walk benchmark defined as:</w:t>
      </w:r>
    </w:p>
    <w:p w14:paraId="00F2D0C4" w14:textId="77777777" w:rsidR="006F1174" w:rsidRPr="006F1174" w:rsidRDefault="00000000" w:rsidP="006F1174">
      <w:pPr>
        <w:widowControl/>
        <w:jc w:val="left"/>
        <w:rPr>
          <w:rFonts w:ascii="Arial" w:eastAsia="宋体" w:hAnsi="Arial" w:cs="Arial"/>
          <w:kern w:val="0"/>
          <w:sz w:val="24"/>
        </w:rPr>
      </w:pPr>
      <m:oMathPara>
        <m:oMath>
          <m:sSubSup>
            <m:sSubSupPr>
              <m:ctrlPr>
                <w:rPr>
                  <w:rFonts w:ascii="Cambria Math" w:eastAsia="宋体" w:hAnsi="Cambria Math" w:cs="Arial"/>
                  <w:kern w:val="0"/>
                  <w:sz w:val="24"/>
                </w:rPr>
              </m:ctrlPr>
            </m:sSubSupPr>
            <m:e>
              <m:acc>
                <m:accPr>
                  <m:ctrlPr>
                    <w:rPr>
                      <w:rFonts w:ascii="Cambria Math" w:eastAsia="宋体" w:hAnsi="Cambria Math" w:cs="Arial"/>
                      <w:kern w:val="0"/>
                      <w:sz w:val="24"/>
                    </w:rPr>
                  </m:ctrlPr>
                </m:accPr>
                <m:e>
                  <m:r>
                    <w:rPr>
                      <w:rFonts w:ascii="Cambria Math" w:eastAsia="宋体" w:hAnsi="Cambria Math" w:cs="Arial"/>
                      <w:kern w:val="0"/>
                      <w:sz w:val="24"/>
                    </w:rPr>
                    <m:t>P</m:t>
                  </m:r>
                </m:e>
              </m:acc>
            </m:e>
            <m:sub>
              <m:r>
                <w:rPr>
                  <w:rFonts w:ascii="Cambria Math" w:eastAsia="宋体" w:hAnsi="Cambria Math" w:cs="Arial"/>
                  <w:kern w:val="0"/>
                  <w:sz w:val="24"/>
                </w:rPr>
                <m:t>t,t+s</m:t>
              </m:r>
            </m:sub>
            <m:sup>
              <m:r>
                <w:rPr>
                  <w:rFonts w:ascii="Cambria Math" w:eastAsia="宋体" w:hAnsi="Cambria Math" w:cs="Arial"/>
                  <w:kern w:val="0"/>
                  <w:sz w:val="24"/>
                </w:rPr>
                <m:t>RW</m:t>
              </m:r>
            </m:sup>
          </m:sSubSup>
          <m:r>
            <w:rPr>
              <w:rFonts w:ascii="Cambria Math" w:eastAsia="宋体" w:hAnsi="Cambria Math" w:cs="Arial"/>
              <w:kern w:val="0"/>
              <w:sz w:val="24"/>
            </w:rPr>
            <m:t>=</m:t>
          </m:r>
          <m:sSub>
            <m:sSubPr>
              <m:ctrlPr>
                <w:rPr>
                  <w:rFonts w:ascii="Cambria Math" w:eastAsia="宋体" w:hAnsi="Cambria Math" w:cs="Arial"/>
                  <w:kern w:val="0"/>
                  <w:sz w:val="24"/>
                </w:rPr>
              </m:ctrlPr>
            </m:sSubPr>
            <m:e>
              <m:r>
                <w:rPr>
                  <w:rFonts w:ascii="Cambria Math" w:eastAsia="宋体" w:hAnsi="Cambria Math" w:cs="Arial"/>
                  <w:kern w:val="0"/>
                  <w:sz w:val="24"/>
                </w:rPr>
                <m:t>P</m:t>
              </m:r>
            </m:e>
            <m:sub>
              <m:r>
                <w:rPr>
                  <w:rFonts w:ascii="Cambria Math" w:eastAsia="宋体" w:hAnsi="Cambria Math" w:cs="Arial"/>
                  <w:kern w:val="0"/>
                  <w:sz w:val="24"/>
                </w:rPr>
                <m:t>t</m:t>
              </m:r>
            </m:sub>
          </m:sSub>
          <m:r>
            <m:rPr>
              <m:sty m:val="p"/>
            </m:rPr>
            <w:rPr>
              <w:rFonts w:ascii="Arial" w:eastAsia="宋体" w:hAnsi="Arial" w:cs="Arial"/>
              <w:kern w:val="0"/>
              <w:sz w:val="24"/>
            </w:rPr>
            <w:br/>
          </m:r>
        </m:oMath>
      </m:oMathPara>
    </w:p>
    <w:p w14:paraId="7E3F9BDB"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All forecasts are evaluated strictly using historical vintages, ensuring real-time out-of-sample comparison and preventing look-ahead bias.</w:t>
      </w:r>
    </w:p>
    <w:p w14:paraId="694B2AA7" w14:textId="77777777" w:rsidR="006F1174" w:rsidRPr="006F1174" w:rsidRDefault="00884966" w:rsidP="006F1174">
      <w:pPr>
        <w:widowControl/>
        <w:jc w:val="left"/>
        <w:rPr>
          <w:rFonts w:ascii="Arial" w:eastAsia="宋体" w:hAnsi="Arial" w:cs="Arial"/>
          <w:kern w:val="0"/>
          <w:sz w:val="24"/>
        </w:rPr>
      </w:pPr>
      <w:r>
        <w:rPr>
          <w:rFonts w:ascii="Arial" w:eastAsia="宋体" w:hAnsi="Arial" w:cs="Arial"/>
          <w:noProof/>
          <w:kern w:val="0"/>
          <w:sz w:val="24"/>
        </w:rPr>
        <w:pict w14:anchorId="249D0E21">
          <v:rect id="_x0000_i1030" alt="" style="width:415.3pt;height:.05pt;mso-width-percent:0;mso-height-percent:0;mso-width-percent:0;mso-height-percent:0" o:hralign="center" o:hrstd="t" o:hr="t" fillcolor="#a0a0a0" stroked="f"/>
        </w:pict>
      </w:r>
    </w:p>
    <w:p w14:paraId="03B024E9" w14:textId="77777777" w:rsidR="006F1174" w:rsidRP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5. Model Improvement Strategy</w:t>
      </w:r>
    </w:p>
    <w:p w14:paraId="1784A2C3"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commentRangeStart w:id="1"/>
      <w:r w:rsidRPr="006F1174">
        <w:rPr>
          <w:rFonts w:ascii="Arial" w:eastAsia="宋体" w:hAnsi="Arial" w:cs="Arial"/>
          <w:color w:val="000000"/>
          <w:kern w:val="0"/>
          <w:sz w:val="24"/>
        </w:rPr>
        <w:t>Beyond evaluating institutional forecasts, we investigate whether predictive performance can be improved by incorporating broader information sets.</w:t>
      </w:r>
    </w:p>
    <w:p w14:paraId="5664DB72"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lastRenderedPageBreak/>
        <w:t>For each horizon </w:t>
      </w:r>
      <m:oMath>
        <m:r>
          <w:rPr>
            <w:rFonts w:ascii="Cambria Math" w:eastAsia="宋体" w:hAnsi="Cambria Math" w:cs="Arial"/>
            <w:kern w:val="0"/>
            <w:sz w:val="24"/>
          </w:rPr>
          <m:t>s</m:t>
        </m:r>
      </m:oMath>
      <w:r w:rsidRPr="006F1174">
        <w:rPr>
          <w:rFonts w:ascii="Arial" w:eastAsia="宋体" w:hAnsi="Arial" w:cs="Arial"/>
          <w:color w:val="000000"/>
          <w:kern w:val="0"/>
          <w:sz w:val="24"/>
        </w:rPr>
        <w:t>, we construct a supervised forecasting framework in which the target variable is </w:t>
      </w:r>
      <m:oMath>
        <m:sSub>
          <m:sSubPr>
            <m:ctrlPr>
              <w:rPr>
                <w:rFonts w:ascii="Cambria Math" w:eastAsia="宋体" w:hAnsi="Cambria Math" w:cs="Arial"/>
                <w:kern w:val="0"/>
                <w:sz w:val="24"/>
              </w:rPr>
            </m:ctrlPr>
          </m:sSubPr>
          <m:e>
            <m:r>
              <w:rPr>
                <w:rFonts w:ascii="Cambria Math" w:eastAsia="宋体" w:hAnsi="Cambria Math" w:cs="Arial"/>
                <w:kern w:val="0"/>
                <w:sz w:val="24"/>
              </w:rPr>
              <m:t>P</m:t>
            </m:r>
          </m:e>
          <m:sub>
            <m:r>
              <w:rPr>
                <w:rFonts w:ascii="Cambria Math" w:eastAsia="宋体" w:hAnsi="Cambria Math" w:cs="Arial"/>
                <w:kern w:val="0"/>
                <w:sz w:val="24"/>
              </w:rPr>
              <m:t>t+s</m:t>
            </m:r>
          </m:sub>
        </m:sSub>
      </m:oMath>
      <w:r w:rsidRPr="006F1174">
        <w:rPr>
          <w:rFonts w:ascii="Arial" w:eastAsia="宋体" w:hAnsi="Arial" w:cs="Arial"/>
          <w:color w:val="000000"/>
          <w:kern w:val="0"/>
          <w:sz w:val="24"/>
        </w:rPr>
        <w:t>, the realized annual average Brent price.</w:t>
      </w:r>
    </w:p>
    <w:p w14:paraId="76437EA0"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Predictor variables available at year </w:t>
      </w:r>
      <m:oMath>
        <m:r>
          <w:rPr>
            <w:rFonts w:ascii="Cambria Math" w:eastAsia="宋体" w:hAnsi="Cambria Math" w:cs="Arial"/>
            <w:kern w:val="0"/>
            <w:sz w:val="24"/>
          </w:rPr>
          <m:t>t</m:t>
        </m:r>
      </m:oMath>
      <w:r w:rsidRPr="006F1174">
        <w:rPr>
          <w:rFonts w:ascii="Arial" w:eastAsia="宋体" w:hAnsi="Arial" w:cs="Arial"/>
          <w:color w:val="000000"/>
          <w:kern w:val="0"/>
          <w:sz w:val="24"/>
        </w:rPr>
        <w:t> may include:</w:t>
      </w:r>
    </w:p>
    <w:p w14:paraId="165DB4A4" w14:textId="77777777" w:rsidR="006F1174" w:rsidRPr="006F1174" w:rsidRDefault="006F1174" w:rsidP="006F1174">
      <w:pPr>
        <w:widowControl/>
        <w:numPr>
          <w:ilvl w:val="0"/>
          <w:numId w:val="3"/>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Current annual Brent price,</w:t>
      </w:r>
    </w:p>
    <w:p w14:paraId="23E7BC70" w14:textId="77777777" w:rsidR="006F1174" w:rsidRPr="006F1174" w:rsidRDefault="006F1174" w:rsidP="006F1174">
      <w:pPr>
        <w:widowControl/>
        <w:numPr>
          <w:ilvl w:val="0"/>
          <w:numId w:val="3"/>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Oil futures term structure indicators,</w:t>
      </w:r>
    </w:p>
    <w:p w14:paraId="0C34EBC2" w14:textId="77777777" w:rsidR="006F1174" w:rsidRPr="006F1174" w:rsidRDefault="006F1174" w:rsidP="006F1174">
      <w:pPr>
        <w:widowControl/>
        <w:numPr>
          <w:ilvl w:val="0"/>
          <w:numId w:val="3"/>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U.S. dollar index,</w:t>
      </w:r>
    </w:p>
    <w:p w14:paraId="6545277F" w14:textId="77777777" w:rsidR="006F1174" w:rsidRPr="006F1174" w:rsidRDefault="006F1174" w:rsidP="006F1174">
      <w:pPr>
        <w:widowControl/>
        <w:numPr>
          <w:ilvl w:val="0"/>
          <w:numId w:val="3"/>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Long-term interest rates,</w:t>
      </w:r>
    </w:p>
    <w:p w14:paraId="290931EB" w14:textId="77777777" w:rsidR="006F1174" w:rsidRPr="006F1174" w:rsidRDefault="006F1174" w:rsidP="006F1174">
      <w:pPr>
        <w:widowControl/>
        <w:numPr>
          <w:ilvl w:val="0"/>
          <w:numId w:val="3"/>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Global economic activity proxies,</w:t>
      </w:r>
    </w:p>
    <w:p w14:paraId="60CCC4BC" w14:textId="77777777" w:rsidR="006F1174" w:rsidRPr="006F1174" w:rsidRDefault="006F1174" w:rsidP="006F1174">
      <w:pPr>
        <w:widowControl/>
        <w:numPr>
          <w:ilvl w:val="0"/>
          <w:numId w:val="3"/>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Selected supply–demand indicators.</w:t>
      </w:r>
    </w:p>
    <w:p w14:paraId="2AA43B43"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We consider both econometric approaches (e.g., autoregressive models with exogenous variables) and machine learning methods (e.g., regularized regression and tree-based models). In addition, simple forecast combination methods will be evaluated to test whether ensemble approaches improve predictive stability.</w:t>
      </w:r>
    </w:p>
    <w:p w14:paraId="79824072"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All alternative models will follow a rolling-origin out-of-sample design. For each year </w:t>
      </w:r>
      <m:oMath>
        <m:r>
          <w:rPr>
            <w:rFonts w:ascii="Cambria Math" w:eastAsia="宋体" w:hAnsi="Cambria Math" w:cs="Arial"/>
            <w:kern w:val="0"/>
            <w:sz w:val="24"/>
          </w:rPr>
          <m:t>t</m:t>
        </m:r>
      </m:oMath>
      <w:r w:rsidRPr="006F1174">
        <w:rPr>
          <w:rFonts w:ascii="Arial" w:eastAsia="宋体" w:hAnsi="Arial" w:cs="Arial"/>
          <w:color w:val="000000"/>
          <w:kern w:val="0"/>
          <w:sz w:val="24"/>
        </w:rPr>
        <w:t>, models will be estimated using only information available up to year </w:t>
      </w:r>
      <m:oMath>
        <m:r>
          <w:rPr>
            <w:rFonts w:ascii="Cambria Math" w:eastAsia="宋体" w:hAnsi="Cambria Math" w:cs="Arial"/>
            <w:kern w:val="0"/>
            <w:sz w:val="24"/>
          </w:rPr>
          <m:t>t</m:t>
        </m:r>
      </m:oMath>
      <w:r w:rsidRPr="006F1174">
        <w:rPr>
          <w:rFonts w:ascii="Arial" w:eastAsia="宋体" w:hAnsi="Arial" w:cs="Arial"/>
          <w:color w:val="000000"/>
          <w:kern w:val="0"/>
          <w:sz w:val="24"/>
        </w:rPr>
        <w:t>, and forecasts for </w:t>
      </w:r>
      <m:oMath>
        <m:r>
          <w:rPr>
            <w:rFonts w:ascii="Cambria Math" w:eastAsia="宋体" w:hAnsi="Cambria Math" w:cs="Arial"/>
            <w:kern w:val="0"/>
            <w:sz w:val="24"/>
          </w:rPr>
          <m:t>t+3</m:t>
        </m:r>
      </m:oMath>
      <w:r w:rsidRPr="006F1174">
        <w:rPr>
          <w:rFonts w:ascii="Arial" w:eastAsia="宋体" w:hAnsi="Arial" w:cs="Arial"/>
          <w:color w:val="000000"/>
          <w:kern w:val="0"/>
          <w:sz w:val="24"/>
        </w:rPr>
        <w:t> and </w:t>
      </w:r>
      <m:oMath>
        <m:r>
          <w:rPr>
            <w:rFonts w:ascii="Cambria Math" w:eastAsia="宋体" w:hAnsi="Cambria Math" w:cs="Arial"/>
            <w:kern w:val="0"/>
            <w:sz w:val="24"/>
          </w:rPr>
          <m:t>t+5</m:t>
        </m:r>
      </m:oMath>
      <w:r w:rsidRPr="006F1174">
        <w:rPr>
          <w:rFonts w:ascii="Arial" w:eastAsia="宋体" w:hAnsi="Arial" w:cs="Arial"/>
          <w:color w:val="000000"/>
          <w:kern w:val="0"/>
          <w:sz w:val="24"/>
        </w:rPr>
        <w:t> will be generated accordingly.</w:t>
      </w:r>
    </w:p>
    <w:p w14:paraId="14EF3DB8"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Model performance will be compared against both institutional forecasts and the random walk benchmark using identical evaluation metrics.</w:t>
      </w:r>
      <w:commentRangeEnd w:id="1"/>
      <w:r w:rsidR="003D166B">
        <w:rPr>
          <w:rStyle w:val="af"/>
        </w:rPr>
        <w:commentReference w:id="1"/>
      </w:r>
    </w:p>
    <w:p w14:paraId="391F6953" w14:textId="77777777" w:rsidR="006F1174" w:rsidRPr="006F1174" w:rsidRDefault="00884966" w:rsidP="006F1174">
      <w:pPr>
        <w:widowControl/>
        <w:jc w:val="left"/>
        <w:rPr>
          <w:rFonts w:ascii="Arial" w:eastAsia="宋体" w:hAnsi="Arial" w:cs="Arial"/>
          <w:kern w:val="0"/>
          <w:sz w:val="24"/>
        </w:rPr>
      </w:pPr>
      <w:r>
        <w:rPr>
          <w:rFonts w:ascii="Arial" w:eastAsia="宋体" w:hAnsi="Arial" w:cs="Arial"/>
          <w:noProof/>
          <w:kern w:val="0"/>
          <w:sz w:val="24"/>
        </w:rPr>
        <w:pict w14:anchorId="37A2184E">
          <v:rect id="_x0000_i1029" alt="" style="width:415.3pt;height:.05pt;mso-width-percent:0;mso-height-percent:0;mso-width-percent:0;mso-height-percent:0" o:hralign="center" o:hrstd="t" o:hr="t" fillcolor="#a0a0a0" stroked="f"/>
        </w:pict>
      </w:r>
    </w:p>
    <w:p w14:paraId="051878D0" w14:textId="77777777" w:rsidR="006F1174" w:rsidRP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6. Data Acquisition Plan and Feasibility</w:t>
      </w:r>
    </w:p>
    <w:p w14:paraId="16DF6702" w14:textId="77777777" w:rsidR="006F1174" w:rsidRPr="006F1174" w:rsidRDefault="006F1174" w:rsidP="006F1174">
      <w:pPr>
        <w:widowControl/>
        <w:spacing w:before="100" w:beforeAutospacing="1" w:after="100" w:afterAutospacing="1"/>
        <w:jc w:val="left"/>
        <w:outlineLvl w:val="2"/>
        <w:rPr>
          <w:rFonts w:ascii="Arial" w:eastAsia="宋体" w:hAnsi="Arial" w:cs="Arial"/>
          <w:b/>
          <w:bCs/>
          <w:color w:val="000000"/>
          <w:kern w:val="0"/>
          <w:sz w:val="27"/>
          <w:szCs w:val="27"/>
        </w:rPr>
      </w:pPr>
      <w:r w:rsidRPr="006F1174">
        <w:rPr>
          <w:rFonts w:ascii="Arial" w:eastAsia="宋体" w:hAnsi="Arial" w:cs="Arial"/>
          <w:b/>
          <w:bCs/>
          <w:color w:val="000000"/>
          <w:kern w:val="0"/>
          <w:sz w:val="27"/>
          <w:szCs w:val="27"/>
        </w:rPr>
        <w:t>Realized Price Data</w:t>
      </w:r>
    </w:p>
    <w:p w14:paraId="137F67FC"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Annual average Brent spot prices are publicly available from EIA and provide complete historical coverage. These data can be downloaded in structured format.</w:t>
      </w:r>
    </w:p>
    <w:p w14:paraId="19C4E120" w14:textId="77777777" w:rsidR="006F1174" w:rsidRPr="006F1174" w:rsidRDefault="00884966" w:rsidP="006F1174">
      <w:pPr>
        <w:widowControl/>
        <w:jc w:val="left"/>
        <w:rPr>
          <w:rFonts w:ascii="Arial" w:eastAsia="宋体" w:hAnsi="Arial" w:cs="Arial"/>
          <w:kern w:val="0"/>
          <w:sz w:val="24"/>
        </w:rPr>
      </w:pPr>
      <w:r>
        <w:rPr>
          <w:rFonts w:ascii="Arial" w:eastAsia="宋体" w:hAnsi="Arial" w:cs="Arial"/>
          <w:noProof/>
          <w:kern w:val="0"/>
          <w:sz w:val="24"/>
        </w:rPr>
        <w:pict w14:anchorId="680BAAC4">
          <v:rect id="_x0000_i1028" alt="" style="width:415.3pt;height:.05pt;mso-width-percent:0;mso-height-percent:0;mso-width-percent:0;mso-height-percent:0" o:hralign="center" o:hrstd="t" o:hr="t" fillcolor="#a0a0a0" stroked="f"/>
        </w:pict>
      </w:r>
    </w:p>
    <w:p w14:paraId="30FD5368" w14:textId="77777777" w:rsidR="006F1174" w:rsidRPr="006F1174" w:rsidRDefault="006F1174" w:rsidP="006F1174">
      <w:pPr>
        <w:widowControl/>
        <w:spacing w:before="100" w:beforeAutospacing="1" w:after="100" w:afterAutospacing="1"/>
        <w:jc w:val="left"/>
        <w:outlineLvl w:val="2"/>
        <w:rPr>
          <w:rFonts w:ascii="Arial" w:eastAsia="宋体" w:hAnsi="Arial" w:cs="Arial"/>
          <w:b/>
          <w:bCs/>
          <w:color w:val="000000"/>
          <w:kern w:val="0"/>
          <w:sz w:val="27"/>
          <w:szCs w:val="27"/>
        </w:rPr>
      </w:pPr>
      <w:r w:rsidRPr="006F1174">
        <w:rPr>
          <w:rFonts w:ascii="Arial" w:eastAsia="宋体" w:hAnsi="Arial" w:cs="Arial"/>
          <w:b/>
          <w:bCs/>
          <w:color w:val="000000"/>
          <w:kern w:val="0"/>
          <w:sz w:val="27"/>
          <w:szCs w:val="27"/>
        </w:rPr>
        <w:t>Forecast Vintage Data</w:t>
      </w:r>
    </w:p>
    <w:p w14:paraId="01757AE7"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Forecast vintages will be collected primarily from recurring institutional outlook publications:</w:t>
      </w:r>
    </w:p>
    <w:p w14:paraId="12F8934A" w14:textId="77777777" w:rsidR="006F1174" w:rsidRPr="006F1174" w:rsidRDefault="006F1174" w:rsidP="006F1174">
      <w:pPr>
        <w:widowControl/>
        <w:numPr>
          <w:ilvl w:val="0"/>
          <w:numId w:val="4"/>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EIA Annual Energy Outlook</w:t>
      </w:r>
    </w:p>
    <w:p w14:paraId="6537272B" w14:textId="77777777" w:rsidR="006F1174" w:rsidRPr="006F1174" w:rsidRDefault="006F1174" w:rsidP="006F1174">
      <w:pPr>
        <w:widowControl/>
        <w:numPr>
          <w:ilvl w:val="0"/>
          <w:numId w:val="4"/>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IEA World Energy Outlook</w:t>
      </w:r>
    </w:p>
    <w:p w14:paraId="0FE68530" w14:textId="77777777" w:rsidR="006F1174" w:rsidRPr="006F1174" w:rsidRDefault="006F1174" w:rsidP="006F1174">
      <w:pPr>
        <w:widowControl/>
        <w:numPr>
          <w:ilvl w:val="0"/>
          <w:numId w:val="4"/>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World Bank Commodity Outlook</w:t>
      </w:r>
    </w:p>
    <w:p w14:paraId="1990352B"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lastRenderedPageBreak/>
        <w:t>We anticipate collecting forecast vintages from approximately 2000 onward, subject to historical availability. Forecast values will be extracted from published tables or supplementary data files and standardized to annual average Brent prices in nominal terms.</w:t>
      </w:r>
    </w:p>
    <w:p w14:paraId="4C5464F9"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Each forecast will be recorded with its publication year to preserve vintage structure.</w:t>
      </w:r>
    </w:p>
    <w:p w14:paraId="5CB280B1" w14:textId="77777777" w:rsidR="006F1174" w:rsidRPr="006F1174" w:rsidRDefault="00884966" w:rsidP="006F1174">
      <w:pPr>
        <w:widowControl/>
        <w:jc w:val="left"/>
        <w:rPr>
          <w:rFonts w:ascii="Arial" w:eastAsia="宋体" w:hAnsi="Arial" w:cs="Arial"/>
          <w:kern w:val="0"/>
          <w:sz w:val="24"/>
        </w:rPr>
      </w:pPr>
      <w:r>
        <w:rPr>
          <w:rFonts w:ascii="Arial" w:eastAsia="宋体" w:hAnsi="Arial" w:cs="Arial"/>
          <w:noProof/>
          <w:kern w:val="0"/>
          <w:sz w:val="24"/>
        </w:rPr>
        <w:pict w14:anchorId="07A4C2F5">
          <v:rect id="_x0000_i1027" alt="" style="width:415.3pt;height:.05pt;mso-width-percent:0;mso-height-percent:0;mso-width-percent:0;mso-height-percent:0" o:hralign="center" o:hrstd="t" o:hr="t" fillcolor="#a0a0a0" stroked="f"/>
        </w:pict>
      </w:r>
    </w:p>
    <w:p w14:paraId="46FFF725" w14:textId="77777777" w:rsidR="006F1174" w:rsidRPr="006F1174" w:rsidRDefault="006F1174" w:rsidP="006F1174">
      <w:pPr>
        <w:widowControl/>
        <w:spacing w:before="100" w:beforeAutospacing="1" w:after="100" w:afterAutospacing="1"/>
        <w:jc w:val="left"/>
        <w:outlineLvl w:val="2"/>
        <w:rPr>
          <w:rFonts w:ascii="Arial" w:eastAsia="宋体" w:hAnsi="Arial" w:cs="Arial"/>
          <w:b/>
          <w:bCs/>
          <w:color w:val="000000"/>
          <w:kern w:val="0"/>
          <w:sz w:val="27"/>
          <w:szCs w:val="27"/>
        </w:rPr>
      </w:pPr>
      <w:r w:rsidRPr="006F1174">
        <w:rPr>
          <w:rFonts w:ascii="Arial" w:eastAsia="宋体" w:hAnsi="Arial" w:cs="Arial"/>
          <w:b/>
          <w:bCs/>
          <w:color w:val="000000"/>
          <w:kern w:val="0"/>
          <w:sz w:val="27"/>
          <w:szCs w:val="27"/>
        </w:rPr>
        <w:t>Macroeconomic and Financial Data</w:t>
      </w:r>
    </w:p>
    <w:p w14:paraId="64B90F0C"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Macroeconomic and financial variables will be obtained from public databases such as FRED and World Bank data portals. These data are available in annual frequency and can be aligned consistently with forecast vintages.</w:t>
      </w:r>
    </w:p>
    <w:p w14:paraId="2A831993" w14:textId="77777777" w:rsidR="006F1174" w:rsidRPr="006F1174" w:rsidRDefault="00884966" w:rsidP="006F1174">
      <w:pPr>
        <w:widowControl/>
        <w:jc w:val="left"/>
        <w:rPr>
          <w:rFonts w:ascii="Arial" w:eastAsia="宋体" w:hAnsi="Arial" w:cs="Arial"/>
          <w:kern w:val="0"/>
          <w:sz w:val="24"/>
        </w:rPr>
      </w:pPr>
      <w:r>
        <w:rPr>
          <w:rFonts w:ascii="Arial" w:eastAsia="宋体" w:hAnsi="Arial" w:cs="Arial"/>
          <w:noProof/>
          <w:kern w:val="0"/>
          <w:sz w:val="24"/>
        </w:rPr>
        <w:pict w14:anchorId="2556F8A6">
          <v:rect id="_x0000_i1026" alt="" style="width:415.3pt;height:.05pt;mso-width-percent:0;mso-height-percent:0;mso-width-percent:0;mso-height-percent:0" o:hralign="center" o:hrstd="t" o:hr="t" fillcolor="#a0a0a0" stroked="f"/>
        </w:pict>
      </w:r>
    </w:p>
    <w:p w14:paraId="0278EA8E" w14:textId="77777777" w:rsidR="006F1174" w:rsidRP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7. Fallback Strategy</w:t>
      </w:r>
    </w:p>
    <w:p w14:paraId="73CB0E5E"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If certain forecast vintages are not consistently available:</w:t>
      </w:r>
    </w:p>
    <w:p w14:paraId="4FF3229D" w14:textId="77777777" w:rsidR="006F1174" w:rsidRPr="006F1174" w:rsidRDefault="006F1174" w:rsidP="006F1174">
      <w:pPr>
        <w:widowControl/>
        <w:numPr>
          <w:ilvl w:val="0"/>
          <w:numId w:val="5"/>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The analysis will prioritize EIA data as the primary institutional source.</w:t>
      </w:r>
    </w:p>
    <w:p w14:paraId="3D83B22F" w14:textId="77777777" w:rsidR="006F1174" w:rsidRPr="006F1174" w:rsidRDefault="006F1174" w:rsidP="006F1174">
      <w:pPr>
        <w:widowControl/>
        <w:numPr>
          <w:ilvl w:val="0"/>
          <w:numId w:val="5"/>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The evaluation horizon may be restricted to three-year-ahead forecasts if five-year coverage is insufficient.</w:t>
      </w:r>
    </w:p>
    <w:p w14:paraId="0057840E" w14:textId="77777777" w:rsidR="006F1174" w:rsidRPr="006F1174" w:rsidRDefault="006F1174" w:rsidP="006F1174">
      <w:pPr>
        <w:widowControl/>
        <w:numPr>
          <w:ilvl w:val="0"/>
          <w:numId w:val="5"/>
        </w:numPr>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The sample window may be narrowed to ensure consistent vintage alignment.</w:t>
      </w:r>
    </w:p>
    <w:p w14:paraId="3871AB6F"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If model complexity becomes infeasible within the project timeline, the improvement analysis will focus on econometric models, with machine learning extensions treated as supplementary.</w:t>
      </w:r>
    </w:p>
    <w:p w14:paraId="7BCA8A74" w14:textId="77777777" w:rsidR="006F1174" w:rsidRPr="006F1174" w:rsidRDefault="00884966" w:rsidP="006F1174">
      <w:pPr>
        <w:widowControl/>
        <w:jc w:val="left"/>
        <w:rPr>
          <w:rFonts w:ascii="Arial" w:eastAsia="宋体" w:hAnsi="Arial" w:cs="Arial"/>
          <w:kern w:val="0"/>
          <w:sz w:val="24"/>
        </w:rPr>
      </w:pPr>
      <w:r>
        <w:rPr>
          <w:rFonts w:ascii="Arial" w:eastAsia="宋体" w:hAnsi="Arial" w:cs="Arial"/>
          <w:noProof/>
          <w:kern w:val="0"/>
          <w:sz w:val="24"/>
        </w:rPr>
        <w:pict w14:anchorId="029042C3">
          <v:rect id="_x0000_i1025" alt="" style="width:415.3pt;height:.05pt;mso-width-percent:0;mso-height-percent:0;mso-width-percent:0;mso-height-percent:0" o:hralign="center" o:hrstd="t" o:hr="t" fillcolor="#a0a0a0" stroked="f"/>
        </w:pict>
      </w:r>
    </w:p>
    <w:p w14:paraId="242E7728" w14:textId="77777777" w:rsidR="006F1174" w:rsidRPr="006F1174" w:rsidRDefault="006F1174" w:rsidP="006F1174">
      <w:pPr>
        <w:widowControl/>
        <w:spacing w:before="100" w:beforeAutospacing="1" w:after="100" w:afterAutospacing="1"/>
        <w:jc w:val="left"/>
        <w:outlineLvl w:val="1"/>
        <w:rPr>
          <w:rFonts w:ascii="Arial" w:eastAsia="宋体" w:hAnsi="Arial" w:cs="Arial"/>
          <w:b/>
          <w:bCs/>
          <w:color w:val="000000"/>
          <w:kern w:val="0"/>
          <w:sz w:val="36"/>
          <w:szCs w:val="36"/>
        </w:rPr>
      </w:pPr>
      <w:r w:rsidRPr="006F1174">
        <w:rPr>
          <w:rFonts w:ascii="Arial" w:eastAsia="宋体" w:hAnsi="Arial" w:cs="Arial"/>
          <w:b/>
          <w:bCs/>
          <w:color w:val="000000"/>
          <w:kern w:val="0"/>
          <w:sz w:val="36"/>
          <w:szCs w:val="36"/>
        </w:rPr>
        <w:t>8. Project Contribution</w:t>
      </w:r>
    </w:p>
    <w:p w14:paraId="259E0C7B"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This project provides decision-relevant insight for upstream oil producers by assessing whether commonly referenced long-term oil price forecasts are sufficiently reliable for capital planning.</w:t>
      </w:r>
    </w:p>
    <w:p w14:paraId="3B518115" w14:textId="77777777" w:rsidR="006F1174" w:rsidRPr="006F1174" w:rsidRDefault="006F1174" w:rsidP="006F1174">
      <w:pPr>
        <w:widowControl/>
        <w:spacing w:before="100" w:beforeAutospacing="1" w:after="100" w:afterAutospacing="1"/>
        <w:jc w:val="left"/>
        <w:rPr>
          <w:rFonts w:ascii="Arial" w:eastAsia="宋体" w:hAnsi="Arial" w:cs="Arial"/>
          <w:color w:val="000000"/>
          <w:kern w:val="0"/>
          <w:sz w:val="24"/>
        </w:rPr>
      </w:pPr>
      <w:r w:rsidRPr="006F1174">
        <w:rPr>
          <w:rFonts w:ascii="Arial" w:eastAsia="宋体" w:hAnsi="Arial" w:cs="Arial"/>
          <w:color w:val="000000"/>
          <w:kern w:val="0"/>
          <w:sz w:val="24"/>
        </w:rPr>
        <w:t xml:space="preserve">The findings will inform whether institutional forecasts exhibit systematic optimism or pessimism, whether they outperform naive benchmarks, and </w:t>
      </w:r>
      <w:commentRangeStart w:id="2"/>
      <w:r w:rsidRPr="006F1174">
        <w:rPr>
          <w:rFonts w:ascii="Arial" w:eastAsia="宋体" w:hAnsi="Arial" w:cs="Arial"/>
          <w:color w:val="000000"/>
          <w:kern w:val="0"/>
          <w:sz w:val="24"/>
        </w:rPr>
        <w:t xml:space="preserve">whether combining broader information sets can reduce predictive error. </w:t>
      </w:r>
      <w:commentRangeEnd w:id="2"/>
      <w:r w:rsidR="003D166B">
        <w:rPr>
          <w:rStyle w:val="af"/>
        </w:rPr>
        <w:commentReference w:id="2"/>
      </w:r>
      <w:r w:rsidRPr="006F1174">
        <w:rPr>
          <w:rFonts w:ascii="Arial" w:eastAsia="宋体" w:hAnsi="Arial" w:cs="Arial"/>
          <w:color w:val="000000"/>
          <w:kern w:val="0"/>
          <w:sz w:val="24"/>
        </w:rPr>
        <w:t xml:space="preserve">These results can guide firms in adjusting forecast inputs, applying bias </w:t>
      </w:r>
      <w:r w:rsidRPr="006F1174">
        <w:rPr>
          <w:rFonts w:ascii="Arial" w:eastAsia="宋体" w:hAnsi="Arial" w:cs="Arial"/>
          <w:color w:val="000000"/>
          <w:kern w:val="0"/>
          <w:sz w:val="24"/>
        </w:rPr>
        <w:lastRenderedPageBreak/>
        <w:t>corrections, or developing internal forecast combination strategies to improve capital allocation decisions.</w:t>
      </w:r>
    </w:p>
    <w:p w14:paraId="1144A042" w14:textId="77777777" w:rsidR="00BD6AE7" w:rsidRPr="00BC776F" w:rsidRDefault="00BD6AE7">
      <w:pPr>
        <w:rPr>
          <w:rFonts w:ascii="Arial" w:hAnsi="Arial" w:cs="Arial"/>
        </w:rPr>
      </w:pPr>
    </w:p>
    <w:sectPr w:rsidR="00BD6AE7" w:rsidRPr="00BC776F">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Yan, Jingrong" w:date="2026-03-02T23:46:00Z" w:initials="JY">
    <w:p w14:paraId="53D64654" w14:textId="77777777" w:rsidR="003D166B" w:rsidRDefault="003D166B" w:rsidP="003D166B">
      <w:pPr>
        <w:jc w:val="left"/>
      </w:pPr>
      <w:r>
        <w:rPr>
          <w:rStyle w:val="af"/>
        </w:rPr>
        <w:annotationRef/>
      </w:r>
      <w:r>
        <w:rPr>
          <w:color w:val="000000"/>
        </w:rPr>
        <w:t>real U.S. dollars per barrel.</w:t>
      </w:r>
    </w:p>
  </w:comment>
  <w:comment w:id="1" w:author="Yan, Jingrong" w:date="2026-03-02T23:51:00Z" w:initials="JY">
    <w:p w14:paraId="139D2D70" w14:textId="77777777" w:rsidR="003D166B" w:rsidRDefault="003D166B" w:rsidP="003D166B">
      <w:pPr>
        <w:jc w:val="left"/>
      </w:pPr>
      <w:r>
        <w:rPr>
          <w:rStyle w:val="af"/>
        </w:rPr>
        <w:annotationRef/>
      </w:r>
      <w:r>
        <w:rPr>
          <w:color w:val="000000"/>
        </w:rPr>
        <w:t>Beyond evaluating institutional forecasts, we test whether a simple and transparent alternative model can improve predictive performance.</w:t>
      </w:r>
    </w:p>
    <w:p w14:paraId="0FE4E533" w14:textId="77777777" w:rsidR="003D166B" w:rsidRDefault="003D166B" w:rsidP="003D166B">
      <w:pPr>
        <w:jc w:val="left"/>
      </w:pPr>
    </w:p>
    <w:p w14:paraId="5B39A241" w14:textId="77777777" w:rsidR="003D166B" w:rsidRDefault="003D166B" w:rsidP="003D166B">
      <w:pPr>
        <w:jc w:val="left"/>
      </w:pPr>
      <w:r>
        <w:rPr>
          <w:color w:val="000000"/>
        </w:rPr>
        <w:t>For each forecast horizon (3-year and 5-year ahead), we estimate a rolling autoregressive model augmented with oil futures information. The model uses:</w:t>
      </w:r>
    </w:p>
    <w:p w14:paraId="4D127174" w14:textId="77777777" w:rsidR="003D166B" w:rsidRDefault="003D166B" w:rsidP="003D166B">
      <w:pPr>
        <w:jc w:val="left"/>
      </w:pPr>
    </w:p>
    <w:p w14:paraId="579740D0" w14:textId="77777777" w:rsidR="003D166B" w:rsidRDefault="003D166B" w:rsidP="003D166B">
      <w:pPr>
        <w:jc w:val="left"/>
      </w:pPr>
      <w:r>
        <w:rPr>
          <w:color w:val="000000"/>
        </w:rPr>
        <w:t>The current annual Brent price</w:t>
      </w:r>
    </w:p>
    <w:p w14:paraId="609E44F3" w14:textId="77777777" w:rsidR="003D166B" w:rsidRDefault="003D166B" w:rsidP="003D166B">
      <w:pPr>
        <w:jc w:val="left"/>
      </w:pPr>
    </w:p>
    <w:p w14:paraId="32C812DE" w14:textId="77777777" w:rsidR="003D166B" w:rsidRDefault="003D166B" w:rsidP="003D166B">
      <w:pPr>
        <w:jc w:val="left"/>
      </w:pPr>
      <w:r>
        <w:rPr>
          <w:color w:val="000000"/>
        </w:rPr>
        <w:t>A futures term structure indicator available at the time of forecast issuance</w:t>
      </w:r>
    </w:p>
    <w:p w14:paraId="40889A67" w14:textId="77777777" w:rsidR="003D166B" w:rsidRDefault="003D166B" w:rsidP="003D166B">
      <w:pPr>
        <w:jc w:val="left"/>
      </w:pPr>
    </w:p>
    <w:p w14:paraId="53982D65" w14:textId="77777777" w:rsidR="003D166B" w:rsidRDefault="003D166B" w:rsidP="003D166B">
      <w:pPr>
        <w:jc w:val="left"/>
      </w:pPr>
      <w:r>
        <w:rPr>
          <w:color w:val="000000"/>
        </w:rPr>
        <w:t>All models are estimated using only information available up to year t, ensuring temporal consistency with forecast vintages. No revised data are used.</w:t>
      </w:r>
    </w:p>
    <w:p w14:paraId="10125C94" w14:textId="77777777" w:rsidR="003D166B" w:rsidRDefault="003D166B" w:rsidP="003D166B">
      <w:pPr>
        <w:jc w:val="left"/>
      </w:pPr>
    </w:p>
    <w:p w14:paraId="2B7647EC" w14:textId="77777777" w:rsidR="003D166B" w:rsidRDefault="003D166B" w:rsidP="003D166B">
      <w:pPr>
        <w:jc w:val="left"/>
      </w:pPr>
      <w:r>
        <w:rPr>
          <w:color w:val="000000"/>
        </w:rPr>
        <w:t>Forecasts for years t+3 and t+5 are generated using a rolling-origin out-of-sample framework. Model performance is then compared against institutional forecasts and a random walk benchmark using identical evaluation metrics (ME, MAE, and RMSE).</w:t>
      </w:r>
    </w:p>
    <w:p w14:paraId="73B1FE60" w14:textId="77777777" w:rsidR="003D166B" w:rsidRDefault="003D166B" w:rsidP="003D166B">
      <w:pPr>
        <w:jc w:val="left"/>
      </w:pPr>
    </w:p>
    <w:p w14:paraId="4FD7A66F" w14:textId="77777777" w:rsidR="003D166B" w:rsidRDefault="003D166B" w:rsidP="003D166B">
      <w:pPr>
        <w:jc w:val="left"/>
      </w:pPr>
      <w:r>
        <w:rPr>
          <w:color w:val="000000"/>
        </w:rPr>
        <w:t>This parsimonious improvement strategy allows us to assess whether incorporating limited market-based information can reduce forecast error without introducing excessive model complexity.</w:t>
      </w:r>
    </w:p>
  </w:comment>
  <w:comment w:id="2" w:author="Yan, Jingrong" w:date="2026-03-02T23:51:00Z" w:initials="JY">
    <w:p w14:paraId="23506D26" w14:textId="43C4EF6A" w:rsidR="003D166B" w:rsidRDefault="003D166B" w:rsidP="003D166B">
      <w:pPr>
        <w:jc w:val="left"/>
      </w:pPr>
      <w:r>
        <w:rPr>
          <w:rStyle w:val="af"/>
        </w:rPr>
        <w:annotationRef/>
      </w:r>
      <w:r>
        <w:rPr>
          <w:color w:val="000000"/>
        </w:rPr>
        <w:t>whether incorporating limited market-based information can reduce predictive error.（保持和 Section 5 的“simple AR + futures”一致）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3D64654" w15:done="0"/>
  <w15:commentEx w15:paraId="4FD7A66F" w15:done="0"/>
  <w15:commentEx w15:paraId="23506D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64D6DC3" w16cex:dateUtc="2026-03-03T07:46:00Z"/>
  <w16cex:commentExtensible w16cex:durableId="20242763" w16cex:dateUtc="2026-03-03T07:51:00Z"/>
  <w16cex:commentExtensible w16cex:durableId="1D689865" w16cex:dateUtc="2026-03-03T07: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3D64654" w16cid:durableId="464D6DC3"/>
  <w16cid:commentId w16cid:paraId="4FD7A66F" w16cid:durableId="20242763"/>
  <w16cid:commentId w16cid:paraId="23506D26" w16cid:durableId="1D6898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6F6A83"/>
    <w:multiLevelType w:val="multilevel"/>
    <w:tmpl w:val="05BE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37925"/>
    <w:multiLevelType w:val="multilevel"/>
    <w:tmpl w:val="BB8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2D07CE"/>
    <w:multiLevelType w:val="multilevel"/>
    <w:tmpl w:val="119A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2268FF"/>
    <w:multiLevelType w:val="multilevel"/>
    <w:tmpl w:val="AE9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A7358D"/>
    <w:multiLevelType w:val="multilevel"/>
    <w:tmpl w:val="32A4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754245">
    <w:abstractNumId w:val="4"/>
  </w:num>
  <w:num w:numId="2" w16cid:durableId="1178084047">
    <w:abstractNumId w:val="0"/>
  </w:num>
  <w:num w:numId="3" w16cid:durableId="1574270248">
    <w:abstractNumId w:val="2"/>
  </w:num>
  <w:num w:numId="4" w16cid:durableId="2038045323">
    <w:abstractNumId w:val="1"/>
  </w:num>
  <w:num w:numId="5" w16cid:durableId="204073816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Yan, Jingrong">
    <w15:presenceInfo w15:providerId="AD" w15:userId="S::yan55@illinois.edu::4fb674c6-328d-4b14-906d-f34ba2bf88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AE7"/>
    <w:rsid w:val="00021AD4"/>
    <w:rsid w:val="001B0EDE"/>
    <w:rsid w:val="003D166B"/>
    <w:rsid w:val="00473908"/>
    <w:rsid w:val="006F1174"/>
    <w:rsid w:val="00884966"/>
    <w:rsid w:val="00AE2C01"/>
    <w:rsid w:val="00BC74FE"/>
    <w:rsid w:val="00BC776F"/>
    <w:rsid w:val="00BD6AE7"/>
    <w:rsid w:val="00D83279"/>
    <w:rsid w:val="00DA75EB"/>
    <w:rsid w:val="00DB5204"/>
    <w:rsid w:val="00E562D2"/>
    <w:rsid w:val="00F02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0BA8"/>
  <w15:chartTrackingRefBased/>
  <w15:docId w15:val="{56E0C808-ADA7-E746-9499-447B45821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D6A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D6A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D6A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D6A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D6A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D6AE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D6A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6A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D6A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6A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D6A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D6A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D6AE7"/>
    <w:rPr>
      <w:rFonts w:cstheme="majorBidi"/>
      <w:color w:val="0F4761" w:themeColor="accent1" w:themeShade="BF"/>
      <w:sz w:val="28"/>
      <w:szCs w:val="28"/>
    </w:rPr>
  </w:style>
  <w:style w:type="character" w:customStyle="1" w:styleId="50">
    <w:name w:val="标题 5 字符"/>
    <w:basedOn w:val="a0"/>
    <w:link w:val="5"/>
    <w:uiPriority w:val="9"/>
    <w:semiHidden/>
    <w:rsid w:val="00BD6AE7"/>
    <w:rPr>
      <w:rFonts w:cstheme="majorBidi"/>
      <w:color w:val="0F4761" w:themeColor="accent1" w:themeShade="BF"/>
      <w:sz w:val="24"/>
    </w:rPr>
  </w:style>
  <w:style w:type="character" w:customStyle="1" w:styleId="60">
    <w:name w:val="标题 6 字符"/>
    <w:basedOn w:val="a0"/>
    <w:link w:val="6"/>
    <w:uiPriority w:val="9"/>
    <w:semiHidden/>
    <w:rsid w:val="00BD6AE7"/>
    <w:rPr>
      <w:rFonts w:cstheme="majorBidi"/>
      <w:b/>
      <w:bCs/>
      <w:color w:val="0F4761" w:themeColor="accent1" w:themeShade="BF"/>
    </w:rPr>
  </w:style>
  <w:style w:type="character" w:customStyle="1" w:styleId="70">
    <w:name w:val="标题 7 字符"/>
    <w:basedOn w:val="a0"/>
    <w:link w:val="7"/>
    <w:uiPriority w:val="9"/>
    <w:semiHidden/>
    <w:rsid w:val="00BD6AE7"/>
    <w:rPr>
      <w:rFonts w:cstheme="majorBidi"/>
      <w:b/>
      <w:bCs/>
      <w:color w:val="595959" w:themeColor="text1" w:themeTint="A6"/>
    </w:rPr>
  </w:style>
  <w:style w:type="character" w:customStyle="1" w:styleId="80">
    <w:name w:val="标题 8 字符"/>
    <w:basedOn w:val="a0"/>
    <w:link w:val="8"/>
    <w:uiPriority w:val="9"/>
    <w:semiHidden/>
    <w:rsid w:val="00BD6AE7"/>
    <w:rPr>
      <w:rFonts w:cstheme="majorBidi"/>
      <w:color w:val="595959" w:themeColor="text1" w:themeTint="A6"/>
    </w:rPr>
  </w:style>
  <w:style w:type="character" w:customStyle="1" w:styleId="90">
    <w:name w:val="标题 9 字符"/>
    <w:basedOn w:val="a0"/>
    <w:link w:val="9"/>
    <w:uiPriority w:val="9"/>
    <w:semiHidden/>
    <w:rsid w:val="00BD6AE7"/>
    <w:rPr>
      <w:rFonts w:eastAsiaTheme="majorEastAsia" w:cstheme="majorBidi"/>
      <w:color w:val="595959" w:themeColor="text1" w:themeTint="A6"/>
    </w:rPr>
  </w:style>
  <w:style w:type="paragraph" w:styleId="a3">
    <w:name w:val="Title"/>
    <w:basedOn w:val="a"/>
    <w:next w:val="a"/>
    <w:link w:val="a4"/>
    <w:uiPriority w:val="10"/>
    <w:qFormat/>
    <w:rsid w:val="00BD6A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6A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6A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6A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6AE7"/>
    <w:pPr>
      <w:spacing w:before="160" w:after="160"/>
      <w:jc w:val="center"/>
    </w:pPr>
    <w:rPr>
      <w:i/>
      <w:iCs/>
      <w:color w:val="404040" w:themeColor="text1" w:themeTint="BF"/>
    </w:rPr>
  </w:style>
  <w:style w:type="character" w:customStyle="1" w:styleId="a8">
    <w:name w:val="引用 字符"/>
    <w:basedOn w:val="a0"/>
    <w:link w:val="a7"/>
    <w:uiPriority w:val="29"/>
    <w:rsid w:val="00BD6AE7"/>
    <w:rPr>
      <w:i/>
      <w:iCs/>
      <w:color w:val="404040" w:themeColor="text1" w:themeTint="BF"/>
    </w:rPr>
  </w:style>
  <w:style w:type="paragraph" w:styleId="a9">
    <w:name w:val="List Paragraph"/>
    <w:basedOn w:val="a"/>
    <w:uiPriority w:val="34"/>
    <w:qFormat/>
    <w:rsid w:val="00BD6AE7"/>
    <w:pPr>
      <w:ind w:left="720"/>
      <w:contextualSpacing/>
    </w:pPr>
  </w:style>
  <w:style w:type="character" w:styleId="aa">
    <w:name w:val="Intense Emphasis"/>
    <w:basedOn w:val="a0"/>
    <w:uiPriority w:val="21"/>
    <w:qFormat/>
    <w:rsid w:val="00BD6AE7"/>
    <w:rPr>
      <w:i/>
      <w:iCs/>
      <w:color w:val="0F4761" w:themeColor="accent1" w:themeShade="BF"/>
    </w:rPr>
  </w:style>
  <w:style w:type="paragraph" w:styleId="ab">
    <w:name w:val="Intense Quote"/>
    <w:basedOn w:val="a"/>
    <w:next w:val="a"/>
    <w:link w:val="ac"/>
    <w:uiPriority w:val="30"/>
    <w:qFormat/>
    <w:rsid w:val="00BD6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6AE7"/>
    <w:rPr>
      <w:i/>
      <w:iCs/>
      <w:color w:val="0F4761" w:themeColor="accent1" w:themeShade="BF"/>
    </w:rPr>
  </w:style>
  <w:style w:type="character" w:styleId="ad">
    <w:name w:val="Intense Reference"/>
    <w:basedOn w:val="a0"/>
    <w:uiPriority w:val="32"/>
    <w:qFormat/>
    <w:rsid w:val="00BD6AE7"/>
    <w:rPr>
      <w:b/>
      <w:bCs/>
      <w:smallCaps/>
      <w:color w:val="0F4761" w:themeColor="accent1" w:themeShade="BF"/>
      <w:spacing w:val="5"/>
    </w:rPr>
  </w:style>
  <w:style w:type="paragraph" w:styleId="ae">
    <w:name w:val="Normal (Web)"/>
    <w:basedOn w:val="a"/>
    <w:uiPriority w:val="99"/>
    <w:semiHidden/>
    <w:unhideWhenUsed/>
    <w:rsid w:val="006F1174"/>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6F1174"/>
  </w:style>
  <w:style w:type="character" w:styleId="af">
    <w:name w:val="annotation reference"/>
    <w:basedOn w:val="a0"/>
    <w:uiPriority w:val="99"/>
    <w:semiHidden/>
    <w:unhideWhenUsed/>
    <w:rsid w:val="003D166B"/>
    <w:rPr>
      <w:sz w:val="21"/>
      <w:szCs w:val="21"/>
    </w:rPr>
  </w:style>
  <w:style w:type="paragraph" w:styleId="af0">
    <w:name w:val="annotation text"/>
    <w:basedOn w:val="a"/>
    <w:link w:val="af1"/>
    <w:uiPriority w:val="99"/>
    <w:semiHidden/>
    <w:unhideWhenUsed/>
    <w:rsid w:val="003D166B"/>
    <w:pPr>
      <w:jc w:val="left"/>
    </w:pPr>
  </w:style>
  <w:style w:type="character" w:customStyle="1" w:styleId="af1">
    <w:name w:val="批注文字 字符"/>
    <w:basedOn w:val="a0"/>
    <w:link w:val="af0"/>
    <w:uiPriority w:val="99"/>
    <w:semiHidden/>
    <w:rsid w:val="003D166B"/>
  </w:style>
  <w:style w:type="paragraph" w:styleId="af2">
    <w:name w:val="annotation subject"/>
    <w:basedOn w:val="af0"/>
    <w:next w:val="af0"/>
    <w:link w:val="af3"/>
    <w:uiPriority w:val="99"/>
    <w:semiHidden/>
    <w:unhideWhenUsed/>
    <w:rsid w:val="003D166B"/>
    <w:rPr>
      <w:b/>
      <w:bCs/>
    </w:rPr>
  </w:style>
  <w:style w:type="character" w:customStyle="1" w:styleId="af3">
    <w:name w:val="批注主题 字符"/>
    <w:basedOn w:val="af1"/>
    <w:link w:val="af2"/>
    <w:uiPriority w:val="99"/>
    <w:semiHidden/>
    <w:rsid w:val="003D16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1188</Words>
  <Characters>6775</Characters>
  <Application>Microsoft Office Word</Application>
  <DocSecurity>0</DocSecurity>
  <Lines>56</Lines>
  <Paragraphs>15</Paragraphs>
  <ScaleCrop>false</ScaleCrop>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Dahai</dc:creator>
  <cp:keywords/>
  <dc:description/>
  <cp:lastModifiedBy>Yan, Jingrong</cp:lastModifiedBy>
  <cp:revision>2</cp:revision>
  <dcterms:created xsi:type="dcterms:W3CDTF">2026-03-03T07:53:00Z</dcterms:created>
  <dcterms:modified xsi:type="dcterms:W3CDTF">2026-03-03T07:53:00Z</dcterms:modified>
</cp:coreProperties>
</file>