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10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_Toc13810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_Toc13810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_Toc25036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_Toc4220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_Toc4220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_Toc20704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_Toc20704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_Toc16586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_Toc23159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_Toc6946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_Toc4665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_Toc4665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_Toc6941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_Toc10663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_Toc888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_Toc15336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_Toc15336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_Toc1778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_Toc14515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_Toc14515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_Toc23300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_Toc15553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_Toc15553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_Toc12072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_Toc31753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支付</w:t>
      </w:r>
      <w:r>
        <w:tab/>
      </w:r>
      <w:r>
        <w:fldChar w:fldCharType="begin"/>
      </w:r>
      <w:r>
        <w:instrText xml:space="preserve"> PAGEREF _Toc10325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_Toc11545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_Toc31370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_Toc21745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_Toc15294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_Toc15294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_Toc10942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设置关系</w:t>
      </w:r>
      <w:r>
        <w:tab/>
      </w:r>
      <w:r>
        <w:fldChar w:fldCharType="begin"/>
      </w:r>
      <w:r>
        <w:instrText xml:space="preserve"> PAGEREF _Toc10942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_Toc9014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_Toc9014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_Toc6742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_Toc16522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设置账号属性 -----------待完善</w:t>
      </w:r>
      <w:r>
        <w:tab/>
      </w:r>
      <w:r>
        <w:fldChar w:fldCharType="begin"/>
      </w:r>
      <w:r>
        <w:instrText xml:space="preserve"> PAGEREF _Toc25507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_Toc20454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_Toc20454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_Toc1636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_Toc15691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挂单</w:t>
      </w:r>
      <w:r>
        <w:tab/>
      </w:r>
      <w:r>
        <w:fldChar w:fldCharType="begin"/>
      </w:r>
      <w:r>
        <w:instrText xml:space="preserve"> PAGEREF _Toc25828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_Toc7588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_Toc28271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取消挂单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_Toc4457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_Toc4457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_Toc10107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部署合约（Lua版）</w:t>
      </w:r>
      <w:r>
        <w:tab/>
      </w:r>
      <w:r>
        <w:fldChar w:fldCharType="begin"/>
      </w:r>
      <w:r>
        <w:instrText xml:space="preserve"> PAGEREF _Toc10107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_Toc13762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_Toc13762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_Toc25630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执行合约（Lua版）</w:t>
      </w:r>
      <w:r>
        <w:tab/>
      </w:r>
      <w:r>
        <w:fldChar w:fldCharType="begin"/>
      </w:r>
      <w:r>
        <w:instrText xml:space="preserve"> PAGEREF _Toc28525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_Toc26112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_Toc16563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_Toc7558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设置挂单佣金</w:t>
      </w:r>
      <w:r>
        <w:tab/>
      </w:r>
      <w:r>
        <w:fldChar w:fldCharType="begin"/>
      </w:r>
      <w:r>
        <w:instrText xml:space="preserve"> PAGEREF _Toc1979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_Toc12479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_Toc12479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_Toc25076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_Toc25152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部署合约（Solidity版）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_Toc28417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_Toc28417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_Toc3525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_Toc3525 </w:instrText>
      </w:r>
      <w:r>
        <w:fldChar w:fldCharType="separate"/>
      </w:r>
      <w:r>
        <w:t>60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_Toc22673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_Toc22673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_Toc24660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调用合约（Solidity版）</w:t>
      </w:r>
      <w:r>
        <w:tab/>
      </w:r>
      <w:r>
        <w:fldChar w:fldCharType="begin"/>
      </w:r>
      <w:r>
        <w:instrText xml:space="preserve"> PAGEREF _Toc24660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_Toc14408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77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_Toc11173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_Toc17686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监听事件</w:t>
      </w:r>
      <w:r>
        <w:tab/>
      </w:r>
      <w:r>
        <w:fldChar w:fldCharType="begin"/>
      </w:r>
      <w:r>
        <w:instrText xml:space="preserve"> PAGEREF _Toc11925 </w:instrText>
      </w:r>
      <w:r>
        <w:fldChar w:fldCharType="separate"/>
      </w:r>
      <w:r>
        <w:t>86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_Toc24397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_Toc6522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_Toc6522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_Toc3560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_Toc9972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_Toc15849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_Toc15849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_Toc9706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_Toc11706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_Toc17280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提交请求</w:t>
      </w:r>
      <w:r>
        <w:tab/>
      </w:r>
      <w:r>
        <w:fldChar w:fldCharType="begin"/>
      </w:r>
      <w:r>
        <w:instrText xml:space="preserve"> PAGEREF _Toc17280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_Toc29821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_Toc31628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_Toc31747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_Toc31747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_Toc31050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_Toc31050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_Toc1690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_Toc2990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_Toc25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_Toc14289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_Toc14289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_Toc12779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_Toc12779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_Toc17878 </w:instrText>
      </w:r>
      <w:r>
        <w:fldChar w:fldCharType="separate"/>
      </w:r>
      <w:r>
        <w:t>107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_Toc292 </w:instrText>
      </w:r>
      <w:r>
        <w:fldChar w:fldCharType="separate"/>
      </w:r>
      <w:r>
        <w:t>111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_Toc4501 </w:instrText>
      </w:r>
      <w:r>
        <w:fldChar w:fldCharType="separate"/>
      </w:r>
      <w:r>
        <w:t>115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_Toc2981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_Toc2981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13810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5036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4220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070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6586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3159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6946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4665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6941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0663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26459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888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15336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778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14515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3300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15553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2072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1753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10325"/>
      <w:r>
        <w:rPr>
          <w:rFonts w:hint="eastAsia"/>
          <w:lang w:val="en-US" w:eastAsia="zh-CN"/>
        </w:rPr>
        <w:t>支付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0" w:name="_Toc11545"/>
      <w:r>
        <w:rPr>
          <w:rFonts w:hint="eastAsia"/>
          <w:lang w:val="en-US" w:eastAsia="zh-CN"/>
        </w:rPr>
        <w:t>创建支付对象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Layout w:type="fixed"/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1" w:name="_Toc31370"/>
      <w:r>
        <w:rPr>
          <w:rFonts w:hint="eastAsia"/>
          <w:lang w:val="en-US" w:eastAsia="zh-CN"/>
        </w:rPr>
        <w:t>传入密钥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2" w:name="_Toc21745"/>
      <w:r>
        <w:rPr>
          <w:rFonts w:hint="eastAsia"/>
          <w:lang w:val="en-US" w:eastAsia="zh-CN"/>
        </w:rPr>
        <w:t>设置备注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5294"/>
      <w:r>
        <w:rPr>
          <w:rFonts w:hint="eastAsia"/>
          <w:lang w:val="en-US" w:eastAsia="zh-CN"/>
        </w:rPr>
        <w:t>提交支付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4" w:name="_Toc10942"/>
      <w:r>
        <w:rPr>
          <w:rFonts w:hint="eastAsia"/>
          <w:lang w:val="en-US" w:eastAsia="zh-CN"/>
        </w:rPr>
        <w:t>设置关系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5" w:name="_Toc9014"/>
      <w:r>
        <w:rPr>
          <w:rFonts w:hint="eastAsia"/>
          <w:lang w:val="en-US" w:eastAsia="zh-CN"/>
        </w:rPr>
        <w:t>创建关系对象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6" w:name="_Toc6742"/>
      <w:r>
        <w:rPr>
          <w:rFonts w:hint="eastAsia"/>
          <w:lang w:val="en-US" w:eastAsia="zh-CN"/>
        </w:rPr>
        <w:t>传入密钥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6522"/>
      <w:r>
        <w:rPr>
          <w:rFonts w:hint="eastAsia"/>
          <w:lang w:val="en-US" w:eastAsia="zh-CN"/>
        </w:rPr>
        <w:t>关系设置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8" w:name="_Toc25507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9" w:name="_Toc20454"/>
      <w:r>
        <w:rPr>
          <w:rFonts w:hint="eastAsia"/>
          <w:lang w:val="en-US" w:eastAsia="zh-CN"/>
        </w:rPr>
        <w:t>创建属性对象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0" w:name="_Toc1636"/>
      <w:r>
        <w:rPr>
          <w:rFonts w:hint="eastAsia"/>
          <w:lang w:val="en-US" w:eastAsia="zh-CN"/>
        </w:rPr>
        <w:t>传入密钥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5691"/>
      <w:r>
        <w:rPr>
          <w:rFonts w:hint="eastAsia"/>
          <w:lang w:val="en-US" w:eastAsia="zh-CN"/>
        </w:rPr>
        <w:t>属性设置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2" w:name="_Toc25828"/>
      <w:r>
        <w:rPr>
          <w:rFonts w:hint="eastAsia"/>
          <w:lang w:val="en-US" w:eastAsia="zh-CN"/>
        </w:rPr>
        <w:t>挂单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3" w:name="_Toc14042"/>
      <w:r>
        <w:rPr>
          <w:rFonts w:hint="eastAsia"/>
          <w:lang w:val="en-US" w:eastAsia="zh-CN"/>
        </w:rPr>
        <w:t>创建挂单对象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4" w:name="_Toc7588"/>
      <w:r>
        <w:rPr>
          <w:rFonts w:hint="eastAsia"/>
          <w:lang w:val="en-US" w:eastAsia="zh-CN"/>
        </w:rPr>
        <w:t>传入密钥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28271"/>
      <w:r>
        <w:rPr>
          <w:rFonts w:hint="eastAsia"/>
          <w:lang w:val="en-US" w:eastAsia="zh-CN"/>
        </w:rPr>
        <w:t>提交挂单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6" w:name="_Toc23301"/>
      <w:r>
        <w:rPr>
          <w:rFonts w:hint="eastAsia"/>
          <w:lang w:val="en-US" w:eastAsia="zh-CN"/>
        </w:rPr>
        <w:t>取消挂单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7" w:name="_Toc27923"/>
      <w:r>
        <w:rPr>
          <w:rFonts w:hint="eastAsia"/>
          <w:lang w:val="en-US" w:eastAsia="zh-CN"/>
        </w:rPr>
        <w:t>创建取消挂单对象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8" w:name="_Toc4457"/>
      <w:r>
        <w:rPr>
          <w:rFonts w:hint="eastAsia"/>
          <w:lang w:val="en-US" w:eastAsia="zh-CN"/>
        </w:rPr>
        <w:t>传入密钥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12052"/>
      <w:r>
        <w:rPr>
          <w:rFonts w:hint="eastAsia"/>
          <w:lang w:val="en-US" w:eastAsia="zh-CN"/>
        </w:rPr>
        <w:t>取消挂单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0" w:name="_Toc10107"/>
      <w:r>
        <w:rPr>
          <w:rFonts w:hint="eastAsia"/>
          <w:lang w:val="en-US" w:eastAsia="zh-CN"/>
        </w:rPr>
        <w:t>部署合约（Lua版）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1" w:name="_Toc13762"/>
      <w:r>
        <w:rPr>
          <w:rFonts w:hint="eastAsia"/>
          <w:lang w:val="en-US" w:eastAsia="zh-CN"/>
        </w:rPr>
        <w:t>创建部署合约对象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2" w:name="_Toc8556"/>
      <w:r>
        <w:rPr>
          <w:rFonts w:hint="eastAsia"/>
          <w:lang w:val="en-US" w:eastAsia="zh-CN"/>
        </w:rPr>
        <w:t>传入密钥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5630"/>
      <w:r>
        <w:rPr>
          <w:rFonts w:hint="eastAsia"/>
          <w:lang w:val="en-US" w:eastAsia="zh-CN"/>
        </w:rPr>
        <w:t>部署合约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4" w:name="_Toc28525"/>
      <w:r>
        <w:rPr>
          <w:rFonts w:hint="eastAsia"/>
          <w:lang w:val="en-US" w:eastAsia="zh-CN"/>
        </w:rPr>
        <w:t>执行合约（Lua版）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5" w:name="_Toc26112"/>
      <w:r>
        <w:rPr>
          <w:rFonts w:hint="eastAsia"/>
          <w:lang w:val="en-US" w:eastAsia="zh-CN"/>
        </w:rPr>
        <w:t>创建执行合约对象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6" w:name="_Toc16563"/>
      <w:r>
        <w:rPr>
          <w:rFonts w:hint="eastAsia"/>
          <w:lang w:val="en-US" w:eastAsia="zh-CN"/>
        </w:rPr>
        <w:t>传入密钥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7558"/>
      <w:r>
        <w:rPr>
          <w:rFonts w:hint="eastAsia"/>
          <w:lang w:val="en-US" w:eastAsia="zh-CN"/>
        </w:rPr>
        <w:t>执行合约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8" w:name="_Toc1979"/>
      <w:r>
        <w:rPr>
          <w:rFonts w:hint="eastAsia"/>
          <w:lang w:val="en-US" w:eastAsia="zh-CN"/>
        </w:rPr>
        <w:t>设置挂单佣金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9" w:name="_Toc12479"/>
      <w:r>
        <w:rPr>
          <w:rFonts w:hint="eastAsia"/>
          <w:lang w:val="en-US" w:eastAsia="zh-CN"/>
        </w:rPr>
        <w:t>创建挂单佣金对象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0" w:name="_Toc439"/>
      <w:r>
        <w:rPr>
          <w:rFonts w:hint="eastAsia"/>
          <w:lang w:val="en-US" w:eastAsia="zh-CN"/>
        </w:rPr>
        <w:t>传入密钥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25076"/>
      <w:r>
        <w:rPr>
          <w:rFonts w:hint="eastAsia"/>
          <w:lang w:val="en-US" w:eastAsia="zh-CN"/>
        </w:rPr>
        <w:t>设置挂单佣金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  <w:bookmarkStart w:id="91" w:name="_GoBack"/>
      <w:bookmarkEnd w:id="9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2" w:name="_Toc25152"/>
      <w:r>
        <w:rPr>
          <w:rFonts w:hint="eastAsia"/>
          <w:lang w:val="en-US" w:eastAsia="zh-CN"/>
        </w:rPr>
        <w:t>部署合约（Solidity版）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3" w:name="_Toc28417"/>
      <w:r>
        <w:rPr>
          <w:rFonts w:hint="eastAsia"/>
          <w:lang w:val="en-US" w:eastAsia="zh-CN"/>
        </w:rPr>
        <w:t>创建合约部署对象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4" w:name="_Toc3525"/>
      <w:r>
        <w:rPr>
          <w:rFonts w:hint="eastAsia"/>
          <w:lang w:val="en-US" w:eastAsia="zh-CN"/>
        </w:rPr>
        <w:t>传入密钥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2673"/>
      <w:r>
        <w:rPr>
          <w:rFonts w:hint="eastAsia"/>
          <w:lang w:val="en-US" w:eastAsia="zh-CN"/>
        </w:rPr>
        <w:t>部署合约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6" w:name="_Toc24660"/>
      <w:r>
        <w:rPr>
          <w:rFonts w:hint="eastAsia"/>
          <w:lang w:val="en-US" w:eastAsia="zh-CN"/>
        </w:rPr>
        <w:t>调用合约（Solidity版）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7" w:name="_Toc14408"/>
      <w:r>
        <w:rPr>
          <w:rFonts w:hint="eastAsia"/>
          <w:lang w:val="en-US" w:eastAsia="zh-CN"/>
        </w:rPr>
        <w:t>创建合约调用对象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8" w:name="_Toc11173"/>
      <w:r>
        <w:rPr>
          <w:rFonts w:hint="eastAsia"/>
          <w:lang w:val="en-US" w:eastAsia="zh-CN"/>
        </w:rPr>
        <w:t>传入密钥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7686"/>
      <w:r>
        <w:rPr>
          <w:rFonts w:hint="eastAsia"/>
          <w:lang w:val="en-US" w:eastAsia="zh-CN"/>
        </w:rPr>
        <w:t>调用合约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0" w:name="_Toc11925"/>
      <w:r>
        <w:rPr>
          <w:rFonts w:hint="eastAsia"/>
          <w:lang w:val="en-US" w:eastAsia="zh-CN"/>
        </w:rPr>
        <w:t>监听事件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1" w:name="_Toc24397"/>
      <w:r>
        <w:rPr>
          <w:rFonts w:hint="eastAsia"/>
          <w:lang w:val="en-US" w:eastAsia="zh-CN"/>
        </w:rPr>
        <w:t>Request类</w:t>
      </w:r>
      <w:bookmarkEnd w:id="61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6522"/>
      <w:r>
        <w:rPr>
          <w:rFonts w:hint="eastAsia"/>
          <w:lang w:val="en-US" w:eastAsia="zh-CN"/>
        </w:rPr>
        <w:t>指定账本</w:t>
      </w:r>
      <w:bookmarkEnd w:id="6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3" w:name="_Toc2602"/>
      <w:r>
        <w:rPr>
          <w:rFonts w:hint="eastAsia"/>
          <w:lang w:val="en-US" w:eastAsia="zh-CN"/>
        </w:rPr>
        <w:t>提交请求</w:t>
      </w:r>
      <w:bookmarkEnd w:id="6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4" w:name="_Toc3560"/>
      <w:r>
        <w:rPr>
          <w:rFonts w:hint="eastAsia"/>
          <w:lang w:val="en-US" w:eastAsia="zh-CN"/>
        </w:rPr>
        <w:t>Transaction类</w:t>
      </w:r>
      <w:bookmarkEnd w:id="6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9972"/>
      <w:r>
        <w:rPr>
          <w:rFonts w:hint="eastAsia"/>
          <w:lang w:val="en-US" w:eastAsia="zh-CN"/>
        </w:rPr>
        <w:t>获得交易账号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5849"/>
      <w:r>
        <w:rPr>
          <w:rFonts w:hint="eastAsia"/>
          <w:lang w:val="en-US" w:eastAsia="zh-CN"/>
        </w:rPr>
        <w:t>获得交易类型</w:t>
      </w:r>
      <w:bookmarkEnd w:id="66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9706"/>
      <w:r>
        <w:rPr>
          <w:rFonts w:hint="eastAsia"/>
          <w:lang w:val="en-US" w:eastAsia="zh-CN"/>
        </w:rPr>
        <w:t>传入私钥</w:t>
      </w:r>
      <w:bookmarkEnd w:id="67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11706"/>
      <w:r>
        <w:rPr>
          <w:rFonts w:hint="eastAsia"/>
          <w:lang w:val="en-US" w:eastAsia="zh-CN"/>
        </w:rPr>
        <w:t>添加备注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9" w:name="_Toc17280"/>
      <w:r>
        <w:rPr>
          <w:rFonts w:hint="eastAsia"/>
          <w:lang w:val="en-US" w:eastAsia="zh-CN"/>
        </w:rPr>
        <w:t>提交请求</w:t>
      </w:r>
      <w:bookmarkEnd w:id="69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70" w:name="_Toc29821"/>
      <w:r>
        <w:rPr>
          <w:rFonts w:hint="eastAsia"/>
          <w:lang w:val="en-US" w:eastAsia="zh-CN"/>
        </w:rPr>
        <w:t>工具类</w:t>
      </w:r>
      <w:bookmarkEnd w:id="7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23753"/>
      <w:r>
        <w:rPr>
          <w:rFonts w:hint="eastAsia"/>
          <w:lang w:val="en-US" w:eastAsia="zh-CN"/>
        </w:rPr>
        <w:t>16进制转字符串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31628"/>
      <w:r>
        <w:rPr>
          <w:rFonts w:hint="eastAsia"/>
          <w:lang w:val="en-US" w:eastAsia="zh-CN"/>
        </w:rPr>
        <w:t>字符串转16进制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31747"/>
      <w:r>
        <w:rPr>
          <w:rFonts w:hint="eastAsia"/>
          <w:lang w:val="en-US" w:eastAsia="zh-CN"/>
        </w:rPr>
        <w:t>判断amount是否有效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31050"/>
      <w:r>
        <w:rPr>
          <w:rFonts w:hint="eastAsia"/>
          <w:lang w:val="en-US" w:eastAsia="zh-CN"/>
        </w:rPr>
        <w:t>判断市场挂单的货币对是否有效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690"/>
      <w:r>
        <w:rPr>
          <w:rFonts w:hint="eastAsia"/>
          <w:lang w:val="en-US" w:eastAsia="zh-CN"/>
        </w:rPr>
        <w:t>统一基础货币SWT的amount格式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990"/>
      <w:r>
        <w:rPr>
          <w:rFonts w:hint="eastAsia"/>
          <w:lang w:val="en-US" w:eastAsia="zh-CN"/>
        </w:rPr>
        <w:t>判断currency是否合法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25"/>
      <w:r>
        <w:rPr>
          <w:rFonts w:hint="eastAsia"/>
          <w:lang w:val="en-US" w:eastAsia="zh-CN"/>
        </w:rPr>
        <w:t>判断hash是否合法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14289"/>
      <w:r>
        <w:rPr>
          <w:rFonts w:hint="eastAsia"/>
          <w:lang w:val="en-US" w:eastAsia="zh-CN"/>
        </w:rPr>
        <w:t>判断address是否合法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12779"/>
      <w:r>
        <w:rPr>
          <w:rFonts w:hint="eastAsia"/>
          <w:lang w:val="en-US" w:eastAsia="zh-CN"/>
        </w:rPr>
        <w:t>判断secret是否合法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0" w:name="_Toc32586"/>
      <w:r>
        <w:rPr>
          <w:rFonts w:hint="eastAsia"/>
          <w:lang w:val="en-US" w:eastAsia="zh-CN"/>
        </w:rPr>
        <w:t>processTx从账号角度解析交易信息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17878"/>
      <w:r>
        <w:rPr>
          <w:rFonts w:hint="eastAsia"/>
          <w:lang w:val="en-US" w:eastAsia="zh-CN"/>
        </w:rPr>
        <w:t>交易类型type说明</w:t>
      </w:r>
      <w:bookmarkEnd w:id="81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2" w:name="_Toc456363626"/>
      <w:bookmarkStart w:id="83" w:name="_Toc482189108"/>
      <w:bookmarkStart w:id="84" w:name="_Toc27059"/>
      <w:bookmarkStart w:id="85" w:name="_Toc438903581"/>
      <w:bookmarkStart w:id="86" w:name="_Toc292"/>
      <w:bookmarkStart w:id="87" w:name="_Toc18242"/>
      <w:bookmarkStart w:id="88" w:name="_Toc24574"/>
      <w:r>
        <w:rPr>
          <w:rFonts w:hint="eastAsia"/>
          <w:lang w:eastAsia="zh-CN"/>
        </w:rPr>
        <w:t>交易效果effects</w:t>
      </w:r>
      <w:bookmarkEnd w:id="82"/>
      <w:bookmarkEnd w:id="83"/>
      <w:bookmarkEnd w:id="84"/>
      <w:bookmarkEnd w:id="85"/>
      <w:r>
        <w:rPr>
          <w:rFonts w:hint="eastAsia"/>
          <w:lang w:val="en-US" w:eastAsia="zh-CN"/>
        </w:rPr>
        <w:t>说明</w:t>
      </w:r>
      <w:bookmarkEnd w:id="86"/>
    </w:p>
    <w:bookmarkEnd w:id="87"/>
    <w:bookmarkEnd w:id="88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9" w:name="_Toc4501"/>
      <w:r>
        <w:rPr>
          <w:rFonts w:hint="eastAsia"/>
          <w:lang w:val="en-US" w:eastAsia="zh-CN"/>
        </w:rPr>
        <w:t>底层常见错误附录</w:t>
      </w:r>
      <w:bookmarkEnd w:id="89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90" w:name="_Toc2981"/>
      <w:r>
        <w:rPr>
          <w:rFonts w:hint="eastAsia"/>
          <w:lang w:val="en-US" w:eastAsia="zh-CN"/>
        </w:rPr>
        <w:t>Solidity ERC20源码</w:t>
      </w:r>
      <w:bookmarkEnd w:id="9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CC2995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E559C4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7C47E0B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DE13A80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CCB071A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184D9E"/>
    <w:rsid w:val="636B70BE"/>
    <w:rsid w:val="637727D4"/>
    <w:rsid w:val="639744ED"/>
    <w:rsid w:val="64783FBA"/>
    <w:rsid w:val="64907D73"/>
    <w:rsid w:val="64AB4285"/>
    <w:rsid w:val="64D562F3"/>
    <w:rsid w:val="64DB3048"/>
    <w:rsid w:val="65273DCE"/>
    <w:rsid w:val="6570014F"/>
    <w:rsid w:val="65F66328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2019-08-06T09:33:34Z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