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信贷业务风控审批政策</w:t>
      </w:r>
    </w:p>
    <w:p>
      <w:r>
        <w:t xml:space="preserve">文件编号：QF-RISK-2026-03　　生效日期：2026年3月1日　　密级：内部</w:t>
      </w:r>
    </w:p>
    <w:p>
      <w:pPr>
        <w:pStyle w:val="Heading1"/>
      </w:pPr>
      <w:r>
        <w:t xml:space="preserve">一、适用范围</w:t>
      </w:r>
    </w:p>
    <w:p>
      <w:r>
        <w:t xml:space="preserve">本政策适用于奇富科技各信贷驱动服务及平台服务业务条线下，面向个人及小微企业主的信用贷款产品全流程风控审批工作，覆盖获客准入、授信审批、贷中监控与贷后催收各环节。</w:t>
      </w:r>
    </w:p>
    <w:p>
      <w:pPr>
        <w:pStyle w:val="Heading1"/>
      </w:pPr>
      <w:r>
        <w:t xml:space="preserve">二、信用分层与授信标准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800"/>
        <w:gridCol w:w="2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分层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信用评分区间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授信额度上限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年化利率区间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适用条件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30万元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7.2%-15%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历史无逾期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600-699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15万元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15%-19.8%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近12个月逾期≤1次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500-599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5万元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19.8%-23.9%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近12个月逾期2-3次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0（观察）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不适用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暂停新增授信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三、审批权限与流程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29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授信额度区间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审批方式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时限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5万元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系统自动审批（风控模型直接出额）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5-15万元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系统初审 + 人工复核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2小时内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15-30万元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风控专员审核 + 资金方联合审批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1个工作日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30万元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风控总监审批 + 资金方额外尽调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3个工作日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3.1 审批规则</w:t>
      </w:r>
    </w:p>
    <w:p>
      <w:pPr>
        <w:pStyle w:val="ListParagraph"/>
        <w:numPr>
          <w:ilvl w:val="0"/>
          <w:numId w:val="2"/>
        </w:numPr>
      </w:pPr>
      <w:r>
        <w:t xml:space="preserve">若审批超时，系统自动升级至上一级风控人员处理</w:t>
      </w:r>
    </w:p>
    <w:p>
      <w:pPr>
        <w:pStyle w:val="ListParagraph"/>
        <w:numPr>
          <w:ilvl w:val="0"/>
          <w:numId w:val="2"/>
        </w:numPr>
      </w:pPr>
      <w:r>
        <w:t xml:space="preserve">借款人为白名单合作机构员工的，简化提交材料，审批时限压缩50%</w:t>
      </w:r>
    </w:p>
    <w:p>
      <w:pPr>
        <w:pStyle w:val="ListParagraph"/>
        <w:numPr>
          <w:ilvl w:val="0"/>
          <w:numId w:val="2"/>
        </w:numPr>
      </w:pPr>
      <w:r>
        <w:t xml:space="preserve">多头借贷指标（近3个月申请机构数）超过5家的，一律转人工复核，不予自动通过</w:t>
      </w:r>
    </w:p>
    <w:p>
      <w:pPr>
        <w:pStyle w:val="ListParagraph"/>
        <w:numPr>
          <w:ilvl w:val="0"/>
          <w:numId w:val="2"/>
        </w:numPr>
      </w:pPr>
      <w:r>
        <w:t xml:space="preserve">借款人命中反欺诈黑名单的，永久拒绝授信，不受信用评分影响</w:t>
      </w:r>
    </w:p>
    <w:p>
      <w:pPr>
        <w:pStyle w:val="Heading1"/>
      </w:pPr>
      <w:r>
        <w:t xml:space="preserve">四、贷中与贷后风控规则</w:t>
      </w:r>
    </w:p>
    <w:p>
      <w:pPr>
        <w:pStyle w:val="Heading2"/>
      </w:pPr>
      <w:r>
        <w:t xml:space="preserve">4.1 分层升降级规则</w:t>
      </w:r>
    </w:p>
    <w:p>
      <w:pPr>
        <w:pStyle w:val="ListParagraph"/>
        <w:numPr>
          <w:ilvl w:val="0"/>
          <w:numId w:val="2"/>
        </w:numPr>
      </w:pPr>
      <w:r>
        <w:t xml:space="preserve">信用评分低于500分，自动降至D层并暂停提现权限</w:t>
      </w:r>
    </w:p>
    <w:p>
      <w:pPr>
        <w:pStyle w:val="ListParagraph"/>
        <w:numPr>
          <w:ilvl w:val="0"/>
          <w:numId w:val="2"/>
        </w:numPr>
      </w:pPr>
      <w:r>
        <w:t xml:space="preserve">连续3期还款正常且当前非A层的，触发升级评估</w:t>
      </w:r>
    </w:p>
    <w:p>
      <w:pPr>
        <w:pStyle w:val="ListParagraph"/>
        <w:numPr>
          <w:ilvl w:val="0"/>
          <w:numId w:val="2"/>
        </w:numPr>
      </w:pPr>
      <w:r>
        <w:t xml:space="preserve">单笔逾期天数超过90天（M3+）的，直接降至D层并移交催收</w:t>
      </w:r>
    </w:p>
    <w:p>
      <w:pPr>
        <w:pStyle w:val="Heading2"/>
      </w:pPr>
      <w:r>
        <w:t xml:space="preserve">4.2 逾期分级与催收方式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逾期阶段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逾期天数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催收方式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1-30天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短信+APP提醒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31-60天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电话催收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61-90天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委外催收+征信预警通知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90天以上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委外催收+法务介入+征信上报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五、资金方合作与风险准备金</w:t>
      </w:r>
    </w:p>
    <w:p>
      <w:pPr>
        <w:pStyle w:val="ListParagraph"/>
        <w:numPr>
          <w:ilvl w:val="0"/>
          <w:numId w:val="2"/>
        </w:numPr>
      </w:pPr>
      <w:r>
        <w:t xml:space="preserve">资金方授信额度使用率超过90%的，触发资金调配预警，自动匹配备用资金方</w:t>
      </w:r>
    </w:p>
    <w:p>
      <w:pPr>
        <w:pStyle w:val="ListParagraph"/>
        <w:numPr>
          <w:ilvl w:val="0"/>
          <w:numId w:val="2"/>
        </w:numPr>
      </w:pPr>
      <w:r>
        <w:t xml:space="preserve">单一资金方合作占比超过40%的，启动分散化管理，暂停新增撮合额度</w:t>
      </w:r>
    </w:p>
    <w:p>
      <w:pPr>
        <w:pStyle w:val="ListParagraph"/>
        <w:numPr>
          <w:ilvl w:val="0"/>
          <w:numId w:val="2"/>
        </w:numPr>
      </w:pPr>
      <w:r>
        <w:t xml:space="preserve">风险准备金覆盖率需维持在在贷余额的3%以上，低于该比例触发资金侧预警</w:t>
      </w:r>
    </w:p>
    <w:p>
      <w:pPr>
        <w:pStyle w:val="ListParagraph"/>
        <w:numPr>
          <w:ilvl w:val="0"/>
          <w:numId w:val="2"/>
        </w:numPr>
      </w:pPr>
      <w:r>
        <w:t xml:space="preserve">单月新增不良贷款率（M3+占比）超过5%的，收紧对应获客渠道并上报风控委员会</w:t>
      </w:r>
    </w:p>
    <w:p>
      <w:pPr>
        <w:pStyle w:val="Heading1"/>
      </w:pPr>
      <w:r>
        <w:t xml:space="preserve">六、合规要求</w:t>
      </w:r>
    </w:p>
    <w:p>
      <w:r>
        <w:t xml:space="preserve">本政策所涉信用评分模型、催收行为规范须符合《个人信息保护法》《商业银行互联网贷款管理暂行办法》及监管机构关于助贷业务的最新监管要求。监管新规发布后，合规部须在15个工作日内完成业务规则适配评估，并同步更新本文件。</w:t>
      </w:r>
    </w:p>
    <w:p>
      <w:r>
        <w:t xml:space="preserve"/>
      </w:r>
    </w:p>
    <w:p>
      <w:r>
        <w:t xml:space="preserve">审批人：风控委员会　　　发布部门：风控合规中心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SimHei" w:cs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2026-07-21T15:20:42.790Z</dcterms:created>
  <dcterms:modified xsi:type="dcterms:W3CDTF">2026-07-21T15:20:42.790Z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