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450" w:lineRule="exact" w:after="60"/>
        <w:jc w:val="center"/>
      </w:pPr>
      <w:r>
        <w:rPr>
          <w:rFonts w:ascii="Times New Roman" w:hAnsi="Times New Roman" w:eastAsia="Noto Serif CJK SC"/>
          <w:b/>
          <w:color w:val="000000"/>
          <w:sz w:val="36"/>
        </w:rPr>
        <w:t>黄靖雯（Davina）</w:t>
      </w:r>
    </w:p>
    <w:p>
      <w:pPr>
        <w:keepNext/>
        <w:widowControl/>
        <w:jc w:val="center"/>
      </w:pPr>
      <w:r>
        <w:rPr>
          <w:rFonts w:ascii="Times New Roman" w:hAnsi="Times New Roman" w:eastAsia="Noto Serif CJK SC"/>
          <w:b w:val="0"/>
          <w:color w:val="000000"/>
          <w:sz w:val="20"/>
        </w:rPr>
        <w:t>求职方向：IMC 整合营销</w:t>
      </w:r>
    </w:p>
    <w:p>
      <w:pPr>
        <w:keepNext/>
        <w:widowControl/>
        <w:jc w:val="center"/>
      </w:pPr>
      <w:r>
        <w:rPr>
          <w:rFonts w:ascii="Times New Roman" w:hAnsi="Times New Roman" w:eastAsia="Noto Serif CJK SC"/>
          <w:b w:val="0"/>
          <w:color w:val="000000"/>
          <w:sz w:val="20"/>
        </w:rPr>
        <w:t>深圳｜13180767835｜davina13@163.com</w:t>
      </w:r>
    </w:p>
    <w:p>
      <w:pPr>
        <w:keepNext/>
        <w:widowControl/>
        <w:spacing w:before="120" w:after="80"/>
        <w:pBdr>
          <w:bottom w:val="single" w:sz="5" w:space="2" w:color="000000"/>
        </w:pBdr>
      </w:pPr>
      <w:r>
        <w:rPr>
          <w:rFonts w:ascii="Times New Roman" w:hAnsi="Times New Roman" w:eastAsia="Noto Serif CJK SC"/>
          <w:b/>
          <w:color w:val="000000"/>
          <w:sz w:val="22"/>
        </w:rPr>
        <w:t>教育经历</w:t>
      </w:r>
    </w:p>
    <w:p>
      <w:pPr>
        <w:keepNext/>
        <w:widowControl/>
        <w:tabs>
          <w:tab w:pos="10205" w:val="right"/>
        </w:tabs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北华大学｜西班牙语 本科 </w:t>
      </w:r>
      <w:r>
        <w:rPr>
          <w:rFonts w:ascii="Times New Roman" w:hAnsi="Times New Roman" w:eastAsia="Noto Serif CJK SC"/>
          <w:b w:val="0"/>
          <w:color w:val="000000"/>
          <w:sz w:val="20"/>
        </w:rPr>
        <w:t>｜</w:t>
      </w:r>
      <w:r>
        <w:rPr>
          <w:rFonts w:ascii="Times New Roman" w:hAnsi="Times New Roman" w:eastAsia="Noto Serif CJK SC"/>
          <w:b w:val="0"/>
          <w:color w:val="000000"/>
          <w:sz w:val="20"/>
        </w:rPr>
        <w:t>GPA：</w:t>
      </w:r>
      <w:r>
        <w:rPr>
          <w:rFonts w:ascii="Times New Roman" w:hAnsi="Times New Roman" w:eastAsia="Noto Serif CJK SC"/>
          <w:b w:val="0"/>
          <w:color w:val="000000"/>
          <w:sz w:val="20"/>
        </w:rPr>
        <w:t>3.72/5.0</w:t>
      </w:r>
      <w:r>
        <w:rPr>
          <w:rFonts w:ascii="Times New Roman" w:hAnsi="Times New Roman" w:eastAsia="Noto Serif CJK SC"/>
          <w:b w:val="0"/>
          <w:color w:val="000000"/>
          <w:sz w:val="20"/>
        </w:rPr>
        <w:tab/>
      </w:r>
      <w:r>
        <w:rPr>
          <w:rFonts w:ascii="Times New Roman" w:hAnsi="Times New Roman" w:eastAsia="Noto Serif CJK SC"/>
          <w:b w:val="0"/>
          <w:color w:val="000000"/>
          <w:sz w:val="20"/>
        </w:rPr>
        <w:t>2019.09—2023.06</w:t>
      </w:r>
    </w:p>
    <w:p>
      <w:pPr>
        <w:keepNext/>
        <w:widowControl/>
        <w:tabs>
          <w:tab w:pos="10205" w:val="right"/>
        </w:tabs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Universidad Rey Juan Carlos｜西班牙语交换项目 </w:t>
      </w:r>
      <w:r>
        <w:rPr>
          <w:rFonts w:ascii="Times New Roman" w:hAnsi="Times New Roman" w:eastAsia="Noto Serif CJK SC"/>
          <w:b w:val="0"/>
          <w:color w:val="000000"/>
          <w:sz w:val="20"/>
        </w:rPr>
        <w:t>｜</w:t>
      </w:r>
      <w:r>
        <w:rPr>
          <w:rFonts w:ascii="Times New Roman" w:hAnsi="Times New Roman" w:eastAsia="Noto Serif CJK SC"/>
          <w:b w:val="0"/>
          <w:color w:val="000000"/>
          <w:sz w:val="20"/>
        </w:rPr>
        <w:t>GPA：81/100</w:t>
      </w:r>
      <w:r>
        <w:rPr>
          <w:rFonts w:ascii="Times New Roman" w:hAnsi="Times New Roman" w:eastAsia="Noto Serif CJK SC"/>
          <w:b w:val="0"/>
          <w:color w:val="000000"/>
          <w:sz w:val="20"/>
        </w:rPr>
        <w:tab/>
      </w:r>
      <w:r>
        <w:rPr>
          <w:rFonts w:ascii="Times New Roman" w:hAnsi="Times New Roman" w:eastAsia="Noto Serif CJK SC"/>
          <w:b w:val="0"/>
          <w:color w:val="000000"/>
          <w:sz w:val="20"/>
        </w:rPr>
        <w:t>2021.10—2022.07</w:t>
      </w:r>
    </w:p>
    <w:p>
      <w:pPr>
        <w:keepNext/>
        <w:widowControl/>
        <w:spacing w:before="120" w:after="80"/>
        <w:pBdr>
          <w:bottom w:val="single" w:sz="5" w:space="2" w:color="000000"/>
        </w:pBdr>
      </w:pPr>
      <w:r>
        <w:rPr>
          <w:rFonts w:ascii="Times New Roman" w:hAnsi="Times New Roman" w:eastAsia="Noto Serif CJK SC"/>
          <w:b/>
          <w:color w:val="000000"/>
          <w:sz w:val="22"/>
        </w:rPr>
        <w:t>工作经历</w:t>
      </w:r>
    </w:p>
    <w:p>
      <w:pPr>
        <w:keepNext/>
        <w:widowControl/>
        <w:tabs>
          <w:tab w:pos="10205" w:val="right"/>
        </w:tabs>
        <w:spacing w:before="80"/>
      </w:pPr>
      <w:r>
        <w:rPr>
          <w:rFonts w:ascii="Times New Roman" w:hAnsi="Times New Roman" w:eastAsia="Noto Serif CJK SC"/>
          <w:b/>
          <w:color w:val="000000"/>
          <w:sz w:val="21"/>
        </w:rPr>
        <w:t>Insta360｜Marketing Specialist</w:t>
      </w:r>
      <w:r>
        <w:rPr>
          <w:rFonts w:ascii="Times New Roman" w:hAnsi="Times New Roman" w:eastAsia="Noto Serif CJK SC"/>
          <w:b w:val="0"/>
          <w:color w:val="000000"/>
          <w:sz w:val="21"/>
        </w:rPr>
        <w:tab/>
      </w:r>
      <w:r>
        <w:rPr>
          <w:rFonts w:ascii="Times New Roman" w:hAnsi="Times New Roman" w:eastAsia="Noto Serif CJK SC"/>
          <w:b w:val="0"/>
          <w:color w:val="000000"/>
          <w:sz w:val="21"/>
        </w:rPr>
        <w:t>2025.08—至今</w:t>
      </w:r>
    </w:p>
    <w:p>
      <w:pPr>
        <w:widowControl/>
      </w:pPr>
      <w:r>
        <w:rPr>
          <w:rFonts w:ascii="Times New Roman" w:hAnsi="Times New Roman" w:eastAsia="Noto Serif CJK SC"/>
          <w:b/>
          <w:color w:val="000000"/>
          <w:sz w:val="20"/>
        </w:rPr>
        <w:t>工作职能：</w:t>
      </w:r>
      <w:r>
        <w:rPr>
          <w:rFonts w:ascii="Times New Roman" w:hAnsi="Times New Roman" w:eastAsia="Noto Serif CJK SC"/>
          <w:b w:val="0"/>
          <w:color w:val="000000"/>
          <w:sz w:val="20"/>
        </w:rPr>
        <w:t>整合营销项目统筹、KOL 内容管理、PR 传播及品牌合作。围绕海外 Campaign 目标制定传播方向，协调内部职能团队与外部合作伙伴，推进线上传播与线下活动落地。</w:t>
      </w:r>
    </w:p>
    <w:p>
      <w:pPr>
        <w:widowControl/>
        <w:spacing w:after="0"/>
      </w:pPr>
    </w:p>
    <w:p>
      <w:pPr>
        <w:keepNext/>
        <w:widowControl/>
        <w:spacing w:before="100"/>
      </w:pPr>
      <w:r>
        <w:rPr>
          <w:rFonts w:ascii="Times New Roman" w:hAnsi="Times New Roman" w:eastAsia="Noto Serif CJK SC"/>
          <w:b/>
          <w:color w:val="000000"/>
          <w:sz w:val="21"/>
        </w:rPr>
        <w:t>模块一：整合营销项目</w:t>
      </w:r>
    </w:p>
    <w:p>
      <w:pPr>
        <w:keepNext/>
        <w:widowControl/>
        <w:spacing w:before="60"/>
      </w:pPr>
      <w:r>
        <w:rPr>
          <w:rFonts w:ascii="Times New Roman" w:hAnsi="Times New Roman" w:eastAsia="Noto Serif CJK SC"/>
          <w:b/>
          <w:color w:val="000000"/>
          <w:sz w:val="20"/>
        </w:rPr>
        <w:t>核心经历：IFA 2026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策略制定：</w:t>
      </w:r>
      <w:r>
        <w:rPr>
          <w:rFonts w:ascii="Times New Roman" w:hAnsi="Times New Roman" w:eastAsia="Noto Serif CJK SC"/>
          <w:b w:val="0"/>
          <w:color w:val="000000"/>
          <w:sz w:val="20"/>
        </w:rPr>
        <w:t>以线索收集和现场体验为核心目标；在缺少新品作为传播抓手的情况下，从产品用途、核心卖点及德国本地场景出发，制定“Beyond Capture”传播主题，为各渠道明确共同的内容方向。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整合执行：</w:t>
      </w:r>
      <w:r>
        <w:rPr>
          <w:rFonts w:ascii="Times New Roman" w:hAnsi="Times New Roman" w:eastAsia="Noto Serif CJK SC"/>
          <w:b w:val="0"/>
          <w:color w:val="000000"/>
          <w:sz w:val="20"/>
        </w:rPr>
        <w:t>统筹 Branding、Social、PR、KOL 的信息对齐及展前预热、展中内容、展后总结；设计 Bambu Lab、EcoFlow 两个联名方案，负责品牌对接、资源协调和现场执行，完成产品互展及线上联合传播。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活动成果：</w:t>
      </w:r>
      <w:r>
        <w:rPr>
          <w:rFonts w:ascii="Times New Roman" w:hAnsi="Times New Roman" w:eastAsia="Noto Serif CJK SC"/>
          <w:b w:val="0"/>
          <w:color w:val="000000"/>
          <w:sz w:val="20"/>
        </w:rPr>
        <w:t>收集 5,041 条线索（较去年增长 455%），展位体验互动 1,000+ 次、飞行笼体验次数同比增长 146%；官方渠道新增关注 1,006，展会 KOL 内容累计 241K 播放，现场销售额 €6,508.5。</w:t>
      </w:r>
    </w:p>
    <w:p>
      <w:pPr>
        <w:keepNext/>
        <w:widowControl/>
        <w:spacing w:before="60"/>
      </w:pPr>
      <w:r>
        <w:rPr>
          <w:rFonts w:ascii="Times New Roman" w:hAnsi="Times New Roman" w:eastAsia="Noto Serif CJK SC"/>
          <w:b/>
          <w:color w:val="000000"/>
          <w:sz w:val="20"/>
        </w:rPr>
        <w:t>核心经历：Project Eternal 全球 UGC 挑战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方案设计：</w:t>
      </w:r>
      <w:r>
        <w:rPr>
          <w:rFonts w:ascii="Times New Roman" w:hAnsi="Times New Roman" w:eastAsia="Noto Serif CJK SC"/>
          <w:b w:val="0"/>
          <w:color w:val="000000"/>
          <w:sz w:val="20"/>
        </w:rPr>
        <w:t>主导设计全球 UGC 挑战的参与机制与整体传播方案：四方品牌联名（Antigravity × Insta360 × CyArk × Splatica），以「8K 360° 实景重建 3D 高斯溅射」为核心玩法。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渠道协同：</w:t>
      </w:r>
      <w:r>
        <w:rPr>
          <w:rFonts w:ascii="Times New Roman" w:hAnsi="Times New Roman" w:eastAsia="Noto Serif CJK SC"/>
          <w:b w:val="0"/>
          <w:color w:val="000000"/>
          <w:sz w:val="20"/>
        </w:rPr>
        <w:t>统筹官网、KOL、EDM、APP、私域 DM 五渠道协同推进征集，设计社区机制降低参与门槛。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活动成果：</w:t>
      </w:r>
      <w:r>
        <w:rPr>
          <w:rFonts w:ascii="Times New Roman" w:hAnsi="Times New Roman" w:eastAsia="Noto Serif CJK SC"/>
          <w:b w:val="0"/>
          <w:color w:val="000000"/>
          <w:sz w:val="20"/>
        </w:rPr>
        <w:t>收获 700+ 家国际媒体报道，覆盖 The Verge、TechRadar、ANSA、PetaPixel 等头部媒体；2,000+ 活动报名，48 小时内 300 名用户注册 Splatica 平台；35 条 KOL 视频 4.5M 曝光。项目收录于公司年度报表。</w:t>
      </w:r>
    </w:p>
    <w:p>
      <w:pPr>
        <w:keepNext/>
        <w:widowControl/>
        <w:spacing w:before="60"/>
      </w:pPr>
      <w:r>
        <w:rPr>
          <w:rFonts w:ascii="Times New Roman" w:hAnsi="Times New Roman" w:eastAsia="Noto Serif CJK SC"/>
          <w:b/>
          <w:color w:val="000000"/>
          <w:sz w:val="20"/>
        </w:rPr>
        <w:t>核心经历：A1 西班牙沉浸式路演 ES Roadshow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定位与策略：</w:t>
      </w:r>
      <w:r>
        <w:rPr>
          <w:rFonts w:ascii="Times New Roman" w:hAnsi="Times New Roman" w:eastAsia="Noto Serif CJK SC"/>
          <w:b w:val="0"/>
          <w:color w:val="000000"/>
          <w:sz w:val="20"/>
        </w:rPr>
        <w:t>将 A1 西班牙四城路演定义为上市后 PMF 验证与购买意向收集：定向邀请FPV社群用户、360 重度用户、户外／旅行创作者及零售 VIP，每场小规模高浓度体验闭环——goggles 沉浸试飞、场景讲解、反对意见收集、可退订金意向登记。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全链路统筹：</w:t>
      </w:r>
      <w:r>
        <w:rPr>
          <w:rFonts w:ascii="Times New Roman" w:hAnsi="Times New Roman" w:eastAsia="Noto Serif CJK SC"/>
          <w:b w:val="0"/>
          <w:color w:val="000000"/>
          <w:sz w:val="20"/>
        </w:rPr>
        <w:t>统筹预算、物料、与本地执行方管理；运用 AI 自建报名与订金收款系统（报名后台、名单管理、签名表），活动前快速修复支付故障与名额超卖缺陷。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结果：</w:t>
      </w:r>
      <w:r>
        <w:rPr>
          <w:rFonts w:ascii="Times New Roman" w:hAnsi="Times New Roman" w:eastAsia="Noto Serif CJK SC"/>
          <w:b w:val="0"/>
          <w:color w:val="000000"/>
          <w:sz w:val="20"/>
        </w:rPr>
        <w:t>四城 40 席、到场率 95%；沉淀购买意向用户画像与核心反对意见，反哺 A1 西班牙 GTM 策略：验证了专业飞手人群购买意向最强／价格/无手柄是第一阻力</w:t>
      </w:r>
    </w:p>
    <w:p>
      <w:pPr>
        <w:widowControl/>
        <w:spacing w:after="0"/>
      </w:pPr>
    </w:p>
    <w:p>
      <w:pPr>
        <w:keepNext/>
        <w:widowControl/>
        <w:spacing w:before="100"/>
      </w:pPr>
      <w:r>
        <w:rPr>
          <w:rFonts w:ascii="Times New Roman" w:hAnsi="Times New Roman" w:eastAsia="Noto Serif CJK SC"/>
          <w:b/>
          <w:color w:val="000000"/>
          <w:sz w:val="21"/>
        </w:rPr>
        <w:t>模块二：KOL 与 PR 传播</w:t>
      </w:r>
    </w:p>
    <w:p>
      <w:pPr>
        <w:keepNext/>
        <w:widowControl/>
        <w:spacing w:before="60"/>
      </w:pPr>
      <w:r>
        <w:rPr>
          <w:rFonts w:ascii="Times New Roman" w:hAnsi="Times New Roman" w:eastAsia="Noto Serif CJK SC"/>
          <w:b/>
          <w:color w:val="000000"/>
          <w:sz w:val="20"/>
        </w:rPr>
        <w:t>核心经历：A1 上市传播（Antigravity A1，2025.12 上市）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KOL 策略与内容管理：</w:t>
      </w:r>
      <w:r>
        <w:rPr>
          <w:rFonts w:ascii="Times New Roman" w:hAnsi="Times New Roman" w:eastAsia="Noto Serif CJK SC"/>
          <w:b w:val="0"/>
          <w:color w:val="000000"/>
          <w:sz w:val="20"/>
        </w:rPr>
        <w:t>负责 A1 上市传播，制定意大利、西班牙市场达人矩阵与内容方向，将高单价、高教育门槛产品的卖点转译为创作者内容；上市期及后续投放累计交付 60 条视频、4.49M 曝光，交付量居全海外市场第一，合作 6 位百万级头部博主。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PR 传播：</w:t>
      </w:r>
      <w:r>
        <w:rPr>
          <w:rFonts w:ascii="Times New Roman" w:hAnsi="Times New Roman" w:eastAsia="Noto Serif CJK SC"/>
          <w:b w:val="0"/>
          <w:color w:val="000000"/>
          <w:sz w:val="20"/>
        </w:rPr>
        <w:t>主动 pitch 并谈成 7 家西班牙头部媒体深度报道（El País、El Mundo、La Vanguardia），上市周期分发 28 篇新闻稿。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诊断与迭代：</w:t>
      </w:r>
      <w:r>
        <w:rPr>
          <w:rFonts w:ascii="Times New Roman" w:hAnsi="Times New Roman" w:eastAsia="Noto Serif CJK SC"/>
          <w:b w:val="0"/>
          <w:color w:val="000000"/>
          <w:sz w:val="20"/>
        </w:rPr>
        <w:t>建立 KOL 复盘体系，按「注意→点击→购买」漏斗定位转化断点，分类归纳用户反对意见，据此推动 KOL 策略从大众曝光转向人群验证与内容资产产出。</w:t>
      </w:r>
    </w:p>
    <w:p>
      <w:r>
        <w:br w:type="page"/>
      </w:r>
    </w:p>
    <w:p>
      <w:pPr>
        <w:keepNext/>
        <w:widowControl/>
        <w:tabs>
          <w:tab w:pos="10205" w:val="right"/>
        </w:tabs>
        <w:spacing w:before="80"/>
      </w:pPr>
      <w:r>
        <w:rPr>
          <w:rFonts w:ascii="Times New Roman" w:hAnsi="Times New Roman" w:eastAsia="Noto Serif CJK SC"/>
          <w:b/>
          <w:color w:val="000000"/>
          <w:sz w:val="21"/>
        </w:rPr>
        <w:t>绘王科技有限公司｜品牌营销部｜海外推广专员</w:t>
      </w:r>
      <w:r>
        <w:rPr>
          <w:rFonts w:ascii="Times New Roman" w:hAnsi="Times New Roman" w:eastAsia="Noto Serif CJK SC"/>
          <w:b w:val="0"/>
          <w:color w:val="000000"/>
          <w:sz w:val="21"/>
        </w:rPr>
        <w:tab/>
      </w:r>
      <w:r>
        <w:rPr>
          <w:rFonts w:ascii="Times New Roman" w:hAnsi="Times New Roman" w:eastAsia="Noto Serif CJK SC"/>
          <w:b w:val="0"/>
          <w:color w:val="000000"/>
          <w:sz w:val="21"/>
        </w:rPr>
        <w:t>2024.07—2025.08</w:t>
      </w:r>
    </w:p>
    <w:p>
      <w:pPr>
        <w:widowControl/>
      </w:pPr>
      <w:r>
        <w:rPr>
          <w:rFonts w:ascii="Times New Roman" w:hAnsi="Times New Roman" w:eastAsia="Noto Serif CJK SC"/>
          <w:b/>
          <w:color w:val="000000"/>
          <w:sz w:val="20"/>
        </w:rPr>
        <w:t>工作职能：</w:t>
      </w:r>
      <w:r>
        <w:rPr>
          <w:rFonts w:ascii="Times New Roman" w:hAnsi="Times New Roman" w:eastAsia="Noto Serif CJK SC"/>
          <w:b w:val="0"/>
          <w:color w:val="000000"/>
          <w:sz w:val="20"/>
        </w:rPr>
        <w:t>西语市场社媒活动策划与运营、KOL 内容合作、PR 及品牌资源拓展。围绕新品上市与品牌活动，规划内容和用户参与形式，协调达人、媒体及投放资源，跟进传播表现和购买转化。</w:t>
      </w:r>
    </w:p>
    <w:p>
      <w:pPr>
        <w:widowControl/>
      </w:pPr>
      <w:r>
        <w:br/>
      </w:r>
    </w:p>
    <w:p>
      <w:pPr>
        <w:keepNext/>
        <w:widowControl/>
        <w:spacing w:before="100"/>
      </w:pPr>
      <w:r>
        <w:rPr>
          <w:rFonts w:ascii="Times New Roman" w:hAnsi="Times New Roman" w:eastAsia="Noto Serif CJK SC"/>
          <w:b/>
          <w:color w:val="000000"/>
          <w:sz w:val="21"/>
        </w:rPr>
        <w:t>模块一：社媒活动策划与运营</w:t>
      </w:r>
    </w:p>
    <w:p>
      <w:pPr>
        <w:keepNext/>
        <w:widowControl/>
        <w:spacing w:before="60"/>
      </w:pPr>
      <w:r>
        <w:rPr>
          <w:rFonts w:ascii="Times New Roman" w:hAnsi="Times New Roman" w:eastAsia="Noto Serif CJK SC"/>
          <w:b/>
          <w:color w:val="000000"/>
          <w:sz w:val="20"/>
        </w:rPr>
        <w:t>核心经历：Huion × Mucha 国际绘画挑战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创意策划：</w:t>
      </w:r>
      <w:r>
        <w:rPr>
          <w:rFonts w:ascii="Times New Roman" w:hAnsi="Times New Roman" w:eastAsia="Noto Serif CJK SC"/>
          <w:b w:val="0"/>
          <w:color w:val="000000"/>
          <w:sz w:val="20"/>
        </w:rPr>
        <w:t>以品牌认知、社群参与及新用户触达为目标，抓住穆夏诞辰 165 周年的艺术主题，策划 DTIYS（以个人风格重新创作）挑战；制定跨绘画媒介的投稿规则、奖项及评选机制，让品牌传播融入用户创作。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资源协同与推广：</w:t>
      </w:r>
      <w:r>
        <w:rPr>
          <w:rFonts w:ascii="Times New Roman" w:hAnsi="Times New Roman" w:eastAsia="Noto Serif CJK SC"/>
          <w:b w:val="0"/>
          <w:color w:val="000000"/>
          <w:sz w:val="20"/>
        </w:rPr>
        <w:t>邀请 Hannah Alexander、Lady Moira 担任评委，洽谈 Clip Studio Paint 软件奖品合作，将艺术家内容、Huion 硬件与软件权益组合为活动资源；统筹推广内容、联合发布及广告投放。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全程运营与成果：</w:t>
      </w:r>
      <w:r>
        <w:rPr>
          <w:rFonts w:ascii="Times New Roman" w:hAnsi="Times New Roman" w:eastAsia="Noto Serif CJK SC"/>
          <w:b w:val="0"/>
          <w:color w:val="000000"/>
          <w:sz w:val="20"/>
        </w:rPr>
        <w:t>主导投稿跟进、评委协调、用户沟通及获奖公布，活动共收获 736 份参赛作品。</w:t>
      </w:r>
    </w:p>
    <w:p>
      <w:pPr>
        <w:widowControl/>
      </w:pPr>
      <w:r>
        <w:rPr>
          <w:rFonts w:ascii="Times New Roman" w:hAnsi="Times New Roman" w:eastAsia="Noto Serif CJK SC"/>
          <w:b/>
          <w:color w:val="000000"/>
          <w:sz w:val="20"/>
        </w:rPr>
        <w:t>其他：</w:t>
      </w:r>
      <w:r>
        <w:rPr>
          <w:rFonts w:ascii="Times New Roman" w:hAnsi="Times New Roman" w:eastAsia="Noto Serif CJK SC"/>
          <w:b w:val="0"/>
          <w:color w:val="000000"/>
          <w:sz w:val="20"/>
        </w:rPr>
        <w:t>统筹西语 Facebook、Instagram、Twitter 日常内容及月度活动，策划艺术家 @mmi_ryu Giveaway，获得 196K 曝光、11K 互动。</w:t>
      </w:r>
    </w:p>
    <w:p>
      <w:pPr>
        <w:widowControl/>
      </w:pPr>
      <w:r>
        <w:br/>
      </w:r>
    </w:p>
    <w:p>
      <w:pPr>
        <w:keepNext/>
        <w:widowControl/>
        <w:spacing w:before="100"/>
      </w:pPr>
      <w:r>
        <w:rPr>
          <w:rFonts w:ascii="Times New Roman" w:hAnsi="Times New Roman" w:eastAsia="Noto Serif CJK SC"/>
          <w:b/>
          <w:color w:val="000000"/>
          <w:sz w:val="21"/>
        </w:rPr>
        <w:t>模块二：KOL 与品牌合作</w:t>
      </w:r>
    </w:p>
    <w:p>
      <w:pPr>
        <w:keepNext/>
        <w:widowControl/>
        <w:spacing w:before="60"/>
      </w:pPr>
      <w:r>
        <w:rPr>
          <w:rFonts w:ascii="Times New Roman" w:hAnsi="Times New Roman" w:eastAsia="Noto Serif CJK SC"/>
          <w:b/>
          <w:color w:val="000000"/>
          <w:sz w:val="20"/>
        </w:rPr>
        <w:t>核心经历：Slate × ibis Paint 上市合作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合作策划：</w:t>
      </w:r>
      <w:r>
        <w:rPr>
          <w:rFonts w:ascii="Times New Roman" w:hAnsi="Times New Roman" w:eastAsia="Noto Serif CJK SC"/>
          <w:b w:val="0"/>
          <w:color w:val="000000"/>
          <w:sz w:val="20"/>
        </w:rPr>
        <w:t>针对公司首款绘画平板上市需要增加购买权益及传播话题的需求，主动提出并发起 ibis Paint 软件合作，以外部品牌资源支持新品上市。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推进与交付：</w:t>
      </w:r>
      <w:r>
        <w:rPr>
          <w:rFonts w:ascii="Times New Roman" w:hAnsi="Times New Roman" w:eastAsia="Noto Serif CJK SC"/>
          <w:b w:val="0"/>
          <w:color w:val="000000"/>
          <w:sz w:val="20"/>
        </w:rPr>
        <w:t>对接合作方，协调产品试用、软件测试、安全合规及内部流程，推进软件权益方案落地，在上市前交付 20K 权益码；协调合作方社媒宣传、修正品牌露出，获得 ibis 官方账号转发，并收集技术问题推动产品优化。</w:t>
      </w:r>
    </w:p>
    <w:p>
      <w:pPr>
        <w:widowControl/>
      </w:pPr>
      <w:r>
        <w:rPr>
          <w:rFonts w:ascii="Times New Roman" w:hAnsi="Times New Roman" w:eastAsia="Noto Serif CJK SC"/>
          <w:b/>
          <w:color w:val="000000"/>
          <w:sz w:val="20"/>
        </w:rPr>
        <w:t>其他：</w:t>
      </w:r>
      <w:r>
        <w:rPr>
          <w:rFonts w:ascii="Times New Roman" w:hAnsi="Times New Roman" w:eastAsia="Noto Serif CJK SC"/>
          <w:b w:val="0"/>
          <w:color w:val="000000"/>
          <w:sz w:val="20"/>
        </w:rPr>
        <w:t>与 YouTube 科技博主 Gartzia Artz 合作产品评测，策划 14 周年创意庆生视频（联动 8 位红人）；拓展并合作月流量 1M 以上媒体 12 家，涵盖 El Mundo、El País、TechRadar、Notebookcheck。</w:t>
      </w:r>
    </w:p>
    <w:p>
      <w:pPr>
        <w:widowControl/>
      </w:pPr>
      <w:r>
        <w:br/>
      </w:r>
    </w:p>
    <w:p>
      <w:pPr>
        <w:keepNext/>
        <w:widowControl/>
        <w:tabs>
          <w:tab w:pos="10205" w:val="right"/>
        </w:tabs>
        <w:spacing w:before="80"/>
      </w:pPr>
      <w:r>
        <w:rPr>
          <w:rFonts w:ascii="Times New Roman" w:hAnsi="Times New Roman" w:eastAsia="Noto Serif CJK SC"/>
          <w:b/>
          <w:color w:val="000000"/>
          <w:sz w:val="21"/>
        </w:rPr>
        <w:t>深圳市小溪流科技有限公司｜海外西语运营</w:t>
      </w:r>
      <w:r>
        <w:rPr>
          <w:rFonts w:ascii="Times New Roman" w:hAnsi="Times New Roman" w:eastAsia="Noto Serif CJK SC"/>
          <w:b w:val="0"/>
          <w:color w:val="000000"/>
          <w:sz w:val="21"/>
        </w:rPr>
        <w:tab/>
      </w:r>
      <w:r>
        <w:rPr>
          <w:rFonts w:ascii="Times New Roman" w:hAnsi="Times New Roman" w:eastAsia="Noto Serif CJK SC"/>
          <w:b w:val="0"/>
          <w:color w:val="000000"/>
          <w:sz w:val="21"/>
        </w:rPr>
        <w:t>2023.03—2024.07</w:t>
      </w:r>
    </w:p>
    <w:p>
      <w:pPr>
        <w:widowControl/>
      </w:pPr>
      <w:r>
        <w:rPr>
          <w:rFonts w:ascii="Times New Roman" w:hAnsi="Times New Roman" w:eastAsia="Noto Serif CJK SC"/>
          <w:b/>
          <w:color w:val="000000"/>
          <w:sz w:val="20"/>
        </w:rPr>
        <w:t>工作职能：</w:t>
      </w:r>
      <w:r>
        <w:rPr>
          <w:rFonts w:ascii="Times New Roman" w:hAnsi="Times New Roman" w:eastAsia="Noto Serif CJK SC"/>
          <w:b w:val="0"/>
          <w:color w:val="000000"/>
          <w:sz w:val="20"/>
        </w:rPr>
        <w:t>海外社媒与社群运营、版本传播及兼职管理员协作。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内容与用户沟通：</w:t>
      </w:r>
      <w:r>
        <w:rPr>
          <w:rFonts w:ascii="Times New Roman" w:hAnsi="Times New Roman" w:eastAsia="Noto Serif CJK SC"/>
          <w:b w:val="0"/>
          <w:color w:val="000000"/>
          <w:sz w:val="20"/>
        </w:rPr>
        <w:t>负责 YouTube、TikTok、Telegram、Discord 等平台的内容、活动、广告投放及舆情记录；协同版本公告与物料发布，收集用户问题并反馈至相关团队，跟进线上运营事件。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运营流程：</w:t>
      </w:r>
      <w:r>
        <w:rPr>
          <w:rFonts w:ascii="Times New Roman" w:hAnsi="Times New Roman" w:eastAsia="Noto Serif CJK SC"/>
          <w:b w:val="0"/>
          <w:color w:val="000000"/>
          <w:sz w:val="20"/>
        </w:rPr>
        <w:t>招募海外兼职管理员，建立群管理 SOP；与海外内容运营协作，推进日常发布和社群维护。</w:t>
      </w:r>
    </w:p>
    <w:p>
      <w:pPr>
        <w:widowControl/>
        <w:ind w:left="198" w:hanging="198"/>
      </w:pPr>
      <w:r>
        <w:br/>
      </w:r>
    </w:p>
    <w:p>
      <w:pPr>
        <w:keepNext/>
        <w:widowControl/>
        <w:spacing w:before="120" w:after="80"/>
        <w:pBdr>
          <w:bottom w:val="single" w:sz="5" w:space="2" w:color="000000"/>
        </w:pBdr>
      </w:pPr>
      <w:r>
        <w:rPr>
          <w:rFonts w:ascii="Times New Roman" w:hAnsi="Times New Roman" w:eastAsia="Noto Serif CJK SC"/>
          <w:b/>
          <w:color w:val="000000"/>
          <w:sz w:val="22"/>
        </w:rPr>
        <w:t>语言与工具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语言：</w:t>
      </w:r>
      <w:r>
        <w:rPr>
          <w:rFonts w:ascii="Times New Roman" w:hAnsi="Times New Roman" w:eastAsia="Noto Serif CJK SC"/>
          <w:b w:val="0"/>
          <w:color w:val="000000"/>
          <w:sz w:val="20"/>
        </w:rPr>
        <w:t>中文、粤语；英语 IELTS 7.0；西班牙语 DELE B2。</w:t>
      </w:r>
    </w:p>
    <w:p>
      <w:pPr>
        <w:widowControl/>
        <w:ind w:left="198" w:hanging="198"/>
      </w:pPr>
      <w:r>
        <w:rPr>
          <w:rFonts w:ascii="Times New Roman" w:hAnsi="Times New Roman" w:eastAsia="Noto Serif CJK SC"/>
          <w:b w:val="0"/>
          <w:color w:val="000000"/>
          <w:sz w:val="20"/>
        </w:rPr>
        <w:t xml:space="preserve">• </w:t>
      </w:r>
      <w:r>
        <w:rPr>
          <w:rFonts w:ascii="Times New Roman" w:hAnsi="Times New Roman" w:eastAsia="Noto Serif CJK SC"/>
          <w:b/>
          <w:color w:val="000000"/>
          <w:sz w:val="20"/>
        </w:rPr>
        <w:t>工具：</w:t>
      </w:r>
      <w:r>
        <w:rPr>
          <w:rFonts w:ascii="Times New Roman" w:hAnsi="Times New Roman" w:eastAsia="Noto Serif CJK SC"/>
          <w:b w:val="0"/>
          <w:color w:val="000000"/>
          <w:sz w:val="20"/>
        </w:rPr>
        <w:t>Office、Canva、Photoshop、Premiere Pro、AI 辅助工具（Codex/Claude）。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exact" w:after="40"/>
    </w:pPr>
    <w:rPr>
      <w:rFonts w:ascii="Times New Roman" w:hAnsi="Times New Roman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