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</w:pPr>
      <w:r>
        <w:rPr>
          <w:b/>
        </w:rPr>
        <w:t>Table 2</w:t>
      </w:r>
      <w:r>
        <w:t>. Sample by country</w:t>
      </w:r>
    </w:p>
    <w:tbl>
      <w:tblPr>
        <w:tblW w:w="9355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1139"/>
        <w:gridCol w:w="839"/>
        <w:gridCol w:w="894"/>
        <w:gridCol w:w="1455"/>
        <w:gridCol w:w="1044"/>
        <w:gridCol w:w="1261"/>
        <w:gridCol w:w="1494"/>
        <w:gridCol w:w="1229"/>
      </w:tblGrid>
      <w:tr>
        <w:trPr>
          <w:cantSplit/>
          <w:tblHeader/>
        </w:trPr>
        <w:tc>
          <w:tcPr>
            <w:tcW w:type="dxa" w:w="113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Country</w:t>
            </w:r>
          </w:p>
        </w:tc>
        <w:tc>
          <w:tcPr>
            <w:tcW w:type="dxa" w:w="83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Parties (radical right)</w:t>
            </w:r>
          </w:p>
        </w:tc>
        <w:tc>
          <w:tcPr>
            <w:tcW w:type="dxa" w:w="89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Releases</w:t>
            </w:r>
          </w:p>
        </w:tc>
        <w:tc>
          <w:tcPr>
            <w:tcW w:type="dxa" w:w="145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Party-weeks (with releases)</w:t>
            </w:r>
          </w:p>
        </w:tc>
        <w:tc>
          <w:tcPr>
            <w:tcW w:type="dxa" w:w="104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Last week observed</w:t>
            </w:r>
          </w:p>
        </w:tc>
        <w:tc>
          <w:tcPr>
            <w:tcW w:type="dxa" w:w="126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Immigration share, %</w:t>
            </w:r>
          </w:p>
        </w:tc>
        <w:tc>
          <w:tcPr>
            <w:tcW w:type="dxa" w:w="149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Law-and-crime share, %</w:t>
            </w:r>
          </w:p>
        </w:tc>
        <w:tc>
          <w:tcPr>
            <w:tcW w:type="dxa" w:w="122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Asylum applications per 100,000, mean (maximum)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Austria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 (1)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53,542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2,510 (2,414)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May 2020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5.4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7.2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26.6 (143.0)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Germany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 (1)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44,943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2,791 (2,748)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July 2019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5.8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7.3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24.9 (114.8)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Netherlands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 (1)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23,773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4,084 (3,466)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July 2019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3.2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5.8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10.6 (59.9)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Poland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 (2)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18,860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2,336 (1,934)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April 2021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1.1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10.9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1.7 (7.9)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Spain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 (0)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25,943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1,296 (960)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April 2018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13.2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2.0 (10.9)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Sweden</w:t>
            </w:r>
          </w:p>
        </w:tc>
        <w:tc>
          <w:tcPr>
            <w:tcW w:type="dxa" w:w="8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 (1)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7,192</w:t>
            </w:r>
          </w:p>
        </w:tc>
        <w:tc>
          <w:tcPr>
            <w:tcW w:type="dxa" w:w="14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3,298 (2,290)</w:t>
            </w:r>
          </w:p>
        </w:tc>
        <w:tc>
          <w:tcPr>
            <w:tcW w:type="dxa" w:w="10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May 2021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6.8</w:t>
            </w:r>
          </w:p>
        </w:tc>
        <w:tc>
          <w:tcPr>
            <w:tcW w:type="dxa" w:w="14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8.2</w:t>
            </w:r>
          </w:p>
        </w:tc>
        <w:tc>
          <w:tcPr>
            <w:tcW w:type="dxa" w:w="122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41.4 (400.7)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All six</w:t>
            </w:r>
          </w:p>
        </w:tc>
        <w:tc>
          <w:tcPr>
            <w:tcW w:type="dxa" w:w="83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 (6)</w:t>
            </w:r>
          </w:p>
        </w:tc>
        <w:tc>
          <w:tcPr>
            <w:tcW w:type="dxa" w:w="89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174,253</w:t>
            </w:r>
          </w:p>
        </w:tc>
        <w:tc>
          <w:tcPr>
            <w:tcW w:type="dxa" w:w="145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 (13,812)</w:t>
            </w:r>
          </w:p>
        </w:tc>
        <w:tc>
          <w:tcPr>
            <w:tcW w:type="dxa" w:w="104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May 2021</w:t>
            </w:r>
          </w:p>
        </w:tc>
        <w:tc>
          <w:tcPr>
            <w:tcW w:type="dxa" w:w="126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4.2</w:t>
            </w:r>
          </w:p>
        </w:tc>
        <w:tc>
          <w:tcPr>
            <w:tcW w:type="dxa" w:w="149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8.0</w:t>
            </w:r>
          </w:p>
        </w:tc>
        <w:tc>
          <w:tcPr>
            <w:tcW w:type="dxa" w:w="122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19.8 (400.7)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200"/>
      </w:pPr>
      <w:r>
        <w:rPr>
          <w:b/>
        </w:rPr>
        <w:t>Table 3</w:t>
      </w:r>
      <w:r>
        <w:t>. Treatment structure by country, January 2010 to May 2021</w:t>
      </w:r>
    </w:p>
    <w:tbl>
      <w:tblPr>
        <w:tblW w:w="12953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1771"/>
        <w:gridCol w:w="1472"/>
        <w:gridCol w:w="1638"/>
        <w:gridCol w:w="1757"/>
        <w:gridCol w:w="1200"/>
        <w:gridCol w:w="894"/>
        <w:gridCol w:w="1072"/>
        <w:gridCol w:w="961"/>
        <w:gridCol w:w="905"/>
        <w:gridCol w:w="1283"/>
      </w:tblGrid>
      <w:tr>
        <w:trPr>
          <w:cantSplit/>
          <w:tblHeader/>
        </w:trPr>
        <w:tc>
          <w:tcPr>
            <w:tcW w:type="dxa" w:w="177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Country</w:t>
            </w:r>
          </w:p>
        </w:tc>
        <w:tc>
          <w:tcPr>
            <w:tcW w:type="dxa" w:w="147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Immigration events</w:t>
            </w:r>
          </w:p>
        </w:tc>
        <w:tc>
          <w:tcPr>
            <w:tcW w:type="dxa" w:w="163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Demonstrative</w:t>
            </w:r>
          </w:p>
        </w:tc>
        <w:tc>
          <w:tcPr>
            <w:tcW w:type="dxa" w:w="175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Confrontational or violent</w:t>
            </w:r>
          </w:p>
        </w:tc>
        <w:tc>
          <w:tcPr>
            <w:tcW w:type="dxa" w:w="120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Weeks with an event </w:t>
            </w:r>
            <w:r>
              <w:rPr>
                <w:rFonts w:ascii="Times New Roman" w:hAnsi="Times New Roman"/>
                <w:b/>
                <w:sz w:val="20"/>
              </w:rPr>
              <w:t>(of 592)</w:t>
            </w:r>
          </w:p>
        </w:tc>
        <w:tc>
          <w:tcPr>
            <w:tcW w:type="dxa" w:w="89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Share of weeks</w:t>
            </w:r>
          </w:p>
        </w:tc>
        <w:tc>
          <w:tcPr>
            <w:tcW w:type="dxa" w:w="1073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Most events in one week</w:t>
            </w:r>
          </w:p>
        </w:tc>
        <w:tc>
          <w:tcPr>
            <w:tcW w:type="dxa" w:w="96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Onsets</w:t>
            </w:r>
          </w:p>
        </w:tc>
        <w:tc>
          <w:tcPr>
            <w:tcW w:type="dxa" w:w="90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Clean onsets</w:t>
            </w:r>
          </w:p>
        </w:tc>
        <w:tc>
          <w:tcPr>
            <w:tcW w:type="dxa" w:w="1284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Treated weeks in </w:t>
            </w:r>
            <w:r>
              <w:rPr>
                <w:rFonts w:ascii="Times New Roman" w:hAnsi="Times New Roman"/>
                <w:b/>
                <w:sz w:val="20"/>
              </w:rPr>
              <w:t>2015⁠–⁠2016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Austria</w:t>
            </w:r>
          </w:p>
        </w:tc>
        <w:tc>
          <w:tcPr>
            <w:tcW w:type="dxa" w:w="1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16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6%</w:t>
            </w:r>
          </w:p>
        </w:tc>
        <w:tc>
          <w:tcPr>
            <w:tcW w:type="dxa" w:w="107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2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Germany</w:t>
            </w:r>
          </w:p>
        </w:tc>
        <w:tc>
          <w:tcPr>
            <w:tcW w:type="dxa" w:w="1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638</w:t>
            </w:r>
          </w:p>
        </w:tc>
        <w:tc>
          <w:tcPr>
            <w:tcW w:type="dxa" w:w="16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415</w:t>
            </w:r>
          </w:p>
        </w:tc>
        <w:tc>
          <w:tcPr>
            <w:tcW w:type="dxa" w:w="1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223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262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44%</w:t>
            </w:r>
          </w:p>
        </w:tc>
        <w:tc>
          <w:tcPr>
            <w:tcW w:type="dxa" w:w="107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97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2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88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Netherlands</w:t>
            </w:r>
          </w:p>
        </w:tc>
        <w:tc>
          <w:tcPr>
            <w:tcW w:type="dxa" w:w="1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56</w:t>
            </w:r>
          </w:p>
        </w:tc>
        <w:tc>
          <w:tcPr>
            <w:tcW w:type="dxa" w:w="16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7%</w:t>
            </w:r>
          </w:p>
        </w:tc>
        <w:tc>
          <w:tcPr>
            <w:tcW w:type="dxa" w:w="107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2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Poland</w:t>
            </w:r>
          </w:p>
        </w:tc>
        <w:tc>
          <w:tcPr>
            <w:tcW w:type="dxa" w:w="1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16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4%</w:t>
            </w:r>
          </w:p>
        </w:tc>
        <w:tc>
          <w:tcPr>
            <w:tcW w:type="dxa" w:w="107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2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Spain</w:t>
            </w:r>
          </w:p>
        </w:tc>
        <w:tc>
          <w:tcPr>
            <w:tcW w:type="dxa" w:w="1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  <w:tc>
          <w:tcPr>
            <w:tcW w:type="dxa" w:w="16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1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47</w:t>
            </w:r>
          </w:p>
        </w:tc>
        <w:tc>
          <w:tcPr>
            <w:tcW w:type="dxa" w:w="89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8%</w:t>
            </w:r>
          </w:p>
        </w:tc>
        <w:tc>
          <w:tcPr>
            <w:tcW w:type="dxa" w:w="107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2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77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Sweden</w:t>
            </w:r>
          </w:p>
        </w:tc>
        <w:tc>
          <w:tcPr>
            <w:tcW w:type="dxa" w:w="147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104</w:t>
            </w:r>
          </w:p>
        </w:tc>
        <w:tc>
          <w:tcPr>
            <w:tcW w:type="dxa" w:w="163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175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66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71</w:t>
            </w:r>
          </w:p>
        </w:tc>
        <w:tc>
          <w:tcPr>
            <w:tcW w:type="dxa" w:w="89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12%</w:t>
            </w:r>
          </w:p>
        </w:tc>
        <w:tc>
          <w:tcPr>
            <w:tcW w:type="dxa" w:w="1073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96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58</w:t>
            </w:r>
          </w:p>
        </w:tc>
        <w:tc>
          <w:tcPr>
            <w:tcW w:type="dxa" w:w="90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284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200"/>
      </w:pPr>
      <w:r>
        <w:rPr>
          <w:b/>
        </w:rPr>
        <w:t>Table 4</w:t>
      </w:r>
      <w:r>
        <w:t>. Matched difference-in-differences: mean effect over weeks 1–6</w:t>
      </w:r>
    </w:p>
    <w:tbl>
      <w:tblPr>
        <w:tblW w:w="12955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3152"/>
        <w:gridCol w:w="2338"/>
        <w:gridCol w:w="910"/>
        <w:gridCol w:w="1241"/>
        <w:gridCol w:w="1039"/>
        <w:gridCol w:w="650"/>
        <w:gridCol w:w="705"/>
        <w:gridCol w:w="1135"/>
        <w:gridCol w:w="928"/>
        <w:gridCol w:w="857"/>
      </w:tblGrid>
      <w:tr>
        <w:trPr>
          <w:cantSplit/>
          <w:tblHeader/>
        </w:trPr>
        <w:tc>
          <w:tcPr>
            <w:tcW w:type="dxa" w:w="315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233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Treatment → outcome</w:t>
            </w:r>
          </w:p>
        </w:tc>
        <w:tc>
          <w:tcPr>
            <w:tcW w:type="dxa" w:w="91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 effect, weeks 1⁠–⁠6 (pp)</w:t>
            </w:r>
          </w:p>
        </w:tc>
        <w:tc>
          <w:tcPr>
            <w:tcW w:type="dxa" w:w="1241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95% interval</w:t>
            </w:r>
          </w:p>
        </w:tc>
        <w:tc>
          <w:tcPr>
            <w:tcW w:type="dxa" w:w="104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One-sided </w:t>
            </w:r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  <w:tc>
          <w:tcPr>
            <w:tcW w:type="dxa" w:w="651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Holm </w:t>
            </w:r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  <w:tc>
          <w:tcPr>
            <w:tcW w:type="dxa" w:w="70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MDE (80%)</w:t>
            </w:r>
          </w:p>
        </w:tc>
        <w:tc>
          <w:tcPr>
            <w:tcW w:type="dxa" w:w="113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Transitions</w:t>
            </w:r>
          </w:p>
        </w:tc>
        <w:tc>
          <w:tcPr>
            <w:tcW w:type="dxa" w:w="92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Matched sets</w:t>
            </w:r>
          </w:p>
        </w:tc>
        <w:tc>
          <w:tcPr>
            <w:tcW w:type="dxa" w:w="85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Median controls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H1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All events → immigration share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0.37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−0.62 to 1.47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0.25</w:t>
            </w: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0.49</w:t>
            </w: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1.33</w:t>
            </w: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1,064</w:t>
            </w: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305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H1a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Demonstrative → immigration share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0.13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−1.91 to 1.73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0.45</w:t>
            </w: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0.49</w:t>
            </w: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2.32</w:t>
            </w: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819</w:t>
            </w: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282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H2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Confrontational or violent → law-and-crime share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−0.32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−2.51 to 1.67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0.62</w:t>
            </w: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2.59</w:t>
            </w: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673</w:t>
            </w: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240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rPr>
          <w:cantSplit/>
          <w:trHeight w:val="160" w:hRule="exact"/>
        </w:trPr>
        <w:tc>
          <w:tcPr>
            <w:tcW w:type="dxa" w:w="12960"/>
            <w:gridSpan w:val="1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2960"/>
            <w:gridSpan w:val="1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40" w:after="2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</w:rPr>
              <w:t>H3 scenarios (all events → immigration share; descriptive)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Left bloc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0.80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−0.63 to 2.28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139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Liberal bloc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1.08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−1.99 to 4.69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Right bloc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−0.28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−1.90 to 1.18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131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Right bloc without radical-right party-weeks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−0.65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−2.72 to 0.84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86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Same, Law and Justice radical right only from 2015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−0.74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−2.45 to 0.59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87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Opposition parties</w:t>
            </w:r>
          </w:p>
        </w:tc>
        <w:tc>
          <w:tcPr>
            <w:tcW w:type="dxa" w:w="23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0.21</w:t>
            </w:r>
          </w:p>
        </w:tc>
        <w:tc>
          <w:tcPr>
            <w:tcW w:type="dxa" w:w="124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−0.80 to 1.36</w:t>
            </w:r>
          </w:p>
        </w:tc>
        <w:tc>
          <w:tcPr>
            <w:tcW w:type="dxa" w:w="10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  <w:tc>
          <w:tcPr>
            <w:tcW w:type="dxa" w:w="8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5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Government parties</w:t>
            </w:r>
          </w:p>
        </w:tc>
        <w:tc>
          <w:tcPr>
            <w:tcW w:type="dxa" w:w="233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</w:p>
        </w:tc>
        <w:tc>
          <w:tcPr>
            <w:tcW w:type="dxa" w:w="91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1.13</w:t>
            </w:r>
          </w:p>
        </w:tc>
        <w:tc>
          <w:tcPr>
            <w:tcW w:type="dxa" w:w="1241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−2.00 to 2.88</w:t>
            </w:r>
          </w:p>
        </w:tc>
        <w:tc>
          <w:tcPr>
            <w:tcW w:type="dxa" w:w="104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</w:p>
        </w:tc>
        <w:tc>
          <w:tcPr>
            <w:tcW w:type="dxa" w:w="651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</w:p>
        </w:tc>
        <w:tc>
          <w:tcPr>
            <w:tcW w:type="dxa" w:w="70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</w:p>
        </w:tc>
        <w:tc>
          <w:tcPr>
            <w:tcW w:type="dxa" w:w="113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</w:p>
        </w:tc>
        <w:tc>
          <w:tcPr>
            <w:tcW w:type="dxa" w:w="92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  <w:tc>
          <w:tcPr>
            <w:tcW w:type="dxa" w:w="85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200"/>
      </w:pPr>
      <w:r>
        <w:rPr>
          <w:b/>
        </w:rPr>
        <w:t>Table 5</w:t>
      </w:r>
      <w:r>
        <w:t>. Two-way fixed-effects models of weekly immigration attention</w:t>
      </w:r>
    </w:p>
    <w:tbl>
      <w:tblPr>
        <w:tblW w:w="9355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2360"/>
        <w:gridCol w:w="1418"/>
        <w:gridCol w:w="1427"/>
        <w:gridCol w:w="1418"/>
        <w:gridCol w:w="1427"/>
        <w:gridCol w:w="1305"/>
      </w:tblGrid>
      <w:tr>
        <w:trPr>
          <w:cantSplit/>
          <w:tblHeader/>
        </w:trPr>
        <w:tc>
          <w:tcPr>
            <w:tcW w:type="dxa" w:w="236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</w:p>
        </w:tc>
        <w:tc>
          <w:tcPr>
            <w:tcW w:type="dxa" w:w="141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All events</w:t>
            </w:r>
          </w:p>
        </w:tc>
        <w:tc>
          <w:tcPr>
            <w:tcW w:type="dxa" w:w="142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Demonstrative</w:t>
            </w:r>
          </w:p>
        </w:tc>
        <w:tc>
          <w:tcPr>
            <w:tcW w:type="dxa" w:w="141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All events + lead</w:t>
            </w:r>
          </w:p>
        </w:tc>
        <w:tc>
          <w:tcPr>
            <w:tcW w:type="dxa" w:w="142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Demonstrative + lead</w:t>
            </w:r>
          </w:p>
        </w:tc>
        <w:tc>
          <w:tcPr>
            <w:tcW w:type="dxa" w:w="130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Log count</w:t>
            </w: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Events, weeks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0.059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0.020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8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(−0.042, 0.161)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(−0.069, 0.110)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Demonstrative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0.037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−0.051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(−0.107, 0.182)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(−0.198, 0.095)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Events, weeks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+1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+6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0.063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(−0.026, 0.151)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Demonstrative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+1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+6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0.171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(0.029, 0.313)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log(</w:t>
            </w:r>
            <w:r>
              <w:rPr>
                <w:rFonts w:ascii="Times New Roman" w:hAnsi="Times New Roman"/>
                <w:b w:val="0"/>
                <w:sz w:val="20"/>
              </w:rPr>
              <w:t xml:space="preserve">1 +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−1)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0.13</w:t>
            </w: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(−0.50, 0.76)</w:t>
            </w: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Government party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−0.52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−0.52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−0.51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−0.51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−0.52</w:t>
            </w: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(−1.59, 0.56)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(−1.63, 0.58)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(−1.57, 0.55)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(−1.57, 0.55)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(−1.64, 0.60)</w:t>
            </w:r>
          </w:p>
        </w:tc>
      </w:tr>
      <w:tr>
        <w:trPr>
          <w:cantSplit/>
        </w:trPr>
        <w:tc>
          <w:tcPr>
            <w:tcW w:type="dxa" w:w="236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Asylum applications per 100,000 (previous month)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0.034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0.035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0.035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0.035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0.035</w:t>
            </w:r>
          </w:p>
        </w:tc>
      </w:tr>
      <w:tr>
        <w:trPr>
          <w:cantSplit/>
        </w:trPr>
        <w:tc>
          <w:tcPr>
            <w:tcW w:type="dxa" w:w="2360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left"/>
            </w:pP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(0.018, 0.050)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(0.018, 0.052)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(0.018, 0.051)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(0.019, 0.052)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(0.018, 0.051)</w:t>
            </w:r>
          </w:p>
        </w:tc>
      </w:tr>
      <w:tr>
        <w:trPr>
          <w:cantSplit/>
          <w:trHeight w:val="160" w:hRule="exact"/>
        </w:trPr>
        <w:tc>
          <w:tcPr>
            <w:tcW w:type="dxa" w:w="9360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236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Party-weeks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13,810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13,810</w:t>
            </w:r>
          </w:p>
        </w:tc>
        <w:tc>
          <w:tcPr>
            <w:tcW w:type="dxa" w:w="14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13,810</w:t>
            </w:r>
          </w:p>
        </w:tc>
        <w:tc>
          <w:tcPr>
            <w:tcW w:type="dxa" w:w="14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13,810</w:t>
            </w:r>
          </w:p>
        </w:tc>
        <w:tc>
          <w:tcPr>
            <w:tcW w:type="dxa" w:w="13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13,810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Fixed effects</w:t>
            </w:r>
          </w:p>
        </w:tc>
        <w:tc>
          <w:tcPr>
            <w:tcW w:type="dxa" w:w="141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Party, week</w:t>
            </w:r>
          </w:p>
        </w:tc>
        <w:tc>
          <w:tcPr>
            <w:tcW w:type="dxa" w:w="142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Party, week</w:t>
            </w:r>
          </w:p>
        </w:tc>
        <w:tc>
          <w:tcPr>
            <w:tcW w:type="dxa" w:w="141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Party, week</w:t>
            </w:r>
          </w:p>
        </w:tc>
        <w:tc>
          <w:tcPr>
            <w:tcW w:type="dxa" w:w="142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Party, week</w:t>
            </w:r>
          </w:p>
        </w:tc>
        <w:tc>
          <w:tcPr>
            <w:tcW w:type="dxa" w:w="130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200"/>
      </w:pPr>
      <w:r>
        <w:rPr>
          <w:b/>
        </w:rPr>
        <w:t>Table 6</w:t>
      </w:r>
      <w:r>
        <w:t>. Leave-one-country-out estimates</w:t>
      </w:r>
    </w:p>
    <w:tbl>
      <w:tblPr>
        <w:tblW w:w="9357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1971"/>
        <w:gridCol w:w="2607"/>
        <w:gridCol w:w="1760"/>
        <w:gridCol w:w="3019"/>
      </w:tblGrid>
      <w:tr>
        <w:trPr>
          <w:cantSplit/>
          <w:tblHeader/>
        </w:trPr>
        <w:tc>
          <w:tcPr>
            <w:tcW w:type="dxa" w:w="1972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Country left out</w:t>
            </w:r>
          </w:p>
        </w:tc>
        <w:tc>
          <w:tcPr>
            <w:tcW w:type="dxa" w:w="2607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Matched </w:t>
            </w:r>
            <w:r>
              <w:rPr>
                <w:rFonts w:ascii="Times New Roman" w:hAnsi="Times New Roman"/>
                <w:b/>
                <w:sz w:val="20"/>
              </w:rPr>
              <w:t>DiD</w:t>
            </w:r>
            <w:r>
              <w:rPr>
                <w:rFonts w:ascii="Times New Roman" w:hAnsi="Times New Roman"/>
                <w:b/>
                <w:sz w:val="20"/>
              </w:rPr>
              <w:t>, mean effect weeks 1⁠–⁠6 (95% interval)</w:t>
            </w:r>
          </w:p>
        </w:tc>
        <w:tc>
          <w:tcPr>
            <w:tcW w:type="dxa" w:w="1761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Matched sets</w:t>
            </w:r>
          </w:p>
        </w:tc>
        <w:tc>
          <w:tcPr>
            <w:tcW w:type="dxa" w:w="302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model, events coefficient (95% interval)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Austria</w:t>
            </w:r>
          </w:p>
        </w:tc>
        <w:tc>
          <w:tcPr>
            <w:tcW w:type="dxa" w:w="260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0.15 (−0.94 to 1.16)</w:t>
            </w:r>
          </w:p>
        </w:tc>
        <w:tc>
          <w:tcPr>
            <w:tcW w:type="dxa" w:w="17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198</w:t>
            </w:r>
          </w:p>
        </w:tc>
        <w:tc>
          <w:tcPr>
            <w:tcW w:type="dxa" w:w="30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0.074 (−0.038 to 0.187)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Germany</w:t>
            </w:r>
          </w:p>
        </w:tc>
        <w:tc>
          <w:tcPr>
            <w:tcW w:type="dxa" w:w="260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0.24 (−0.94 to 1.39)</w:t>
            </w:r>
          </w:p>
        </w:tc>
        <w:tc>
          <w:tcPr>
            <w:tcW w:type="dxa" w:w="17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235</w:t>
            </w:r>
          </w:p>
        </w:tc>
        <w:tc>
          <w:tcPr>
            <w:tcW w:type="dxa" w:w="30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−0.033 (−0.260 to 0.195)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Netherlands</w:t>
            </w:r>
          </w:p>
        </w:tc>
        <w:tc>
          <w:tcPr>
            <w:tcW w:type="dxa" w:w="260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0.39 (−0.97 to 1.58)</w:t>
            </w:r>
          </w:p>
        </w:tc>
        <w:tc>
          <w:tcPr>
            <w:tcW w:type="dxa" w:w="17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192</w:t>
            </w:r>
          </w:p>
        </w:tc>
        <w:tc>
          <w:tcPr>
            <w:tcW w:type="dxa" w:w="30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0.071 (−0.030 to 0.172)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Poland</w:t>
            </w:r>
          </w:p>
        </w:tc>
        <w:tc>
          <w:tcPr>
            <w:tcW w:type="dxa" w:w="260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0.49 (−0.60 to 1.56)</w:t>
            </w:r>
          </w:p>
        </w:tc>
        <w:tc>
          <w:tcPr>
            <w:tcW w:type="dxa" w:w="17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260</w:t>
            </w:r>
          </w:p>
        </w:tc>
        <w:tc>
          <w:tcPr>
            <w:tcW w:type="dxa" w:w="30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0.045 (−0.063 to 0.153)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Spain</w:t>
            </w:r>
          </w:p>
        </w:tc>
        <w:tc>
          <w:tcPr>
            <w:tcW w:type="dxa" w:w="260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0.48 (−0.54 to 1.63)</w:t>
            </w:r>
          </w:p>
        </w:tc>
        <w:tc>
          <w:tcPr>
            <w:tcW w:type="dxa" w:w="17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260</w:t>
            </w:r>
          </w:p>
        </w:tc>
        <w:tc>
          <w:tcPr>
            <w:tcW w:type="dxa" w:w="30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0.043 (−0.063 to 0.149)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Sweden</w:t>
            </w:r>
          </w:p>
        </w:tc>
        <w:tc>
          <w:tcPr>
            <w:tcW w:type="dxa" w:w="2607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0.51 (−0.75 to 1.98)</w:t>
            </w:r>
          </w:p>
        </w:tc>
        <w:tc>
          <w:tcPr>
            <w:tcW w:type="dxa" w:w="1761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257</w:t>
            </w:r>
          </w:p>
        </w:tc>
        <w:tc>
          <w:tcPr>
            <w:tcW w:type="dxa" w:w="302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0.066 (−0.033 to 0.166)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200"/>
      </w:pPr>
      <w:r>
        <w:rPr>
          <w:b/>
        </w:rPr>
        <w:t>Table 7</w:t>
      </w:r>
      <w:r>
        <w:t>. Measurement checks for H1: mean effect over weeks 1–6</w:t>
      </w:r>
    </w:p>
    <w:tbl>
      <w:tblPr>
        <w:tblW w:w="9358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3877"/>
        <w:gridCol w:w="1257"/>
        <w:gridCol w:w="1535"/>
        <w:gridCol w:w="1333"/>
        <w:gridCol w:w="1356"/>
      </w:tblGrid>
      <w:tr>
        <w:trPr>
          <w:cantSplit/>
          <w:tblHeader/>
        </w:trPr>
        <w:tc>
          <w:tcPr>
            <w:tcW w:type="dxa" w:w="3877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Check (one rule changed; own-party rule kept)</w:t>
            </w:r>
          </w:p>
        </w:tc>
        <w:tc>
          <w:tcPr>
            <w:tcW w:type="dxa" w:w="125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 effect, weeks 1⁠–⁠6 (pp)</w:t>
            </w:r>
          </w:p>
        </w:tc>
        <w:tc>
          <w:tcPr>
            <w:tcW w:type="dxa" w:w="153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95% interval</w:t>
            </w:r>
          </w:p>
        </w:tc>
        <w:tc>
          <w:tcPr>
            <w:tcW w:type="dxa" w:w="1334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One-sided </w:t>
            </w:r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  <w:tc>
          <w:tcPr>
            <w:tcW w:type="dxa" w:w="135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Matched sets (median controls)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Main specification (Table 4)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0.37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−0.62 to 1.47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0.25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8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305 (3)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Release-free weeks coded as zero attention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0.40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−0.33 to 1.18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0.16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575 (4)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At least three releases per week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1.23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−0.08 to 2.91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0.055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182 (2)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Monolingual PARTYPRESS classifier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1.05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0.05 to 2.24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0.030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305 (3)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Wider issue rule (adds "Islam and internal minorities")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1.78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0.31 to 3.77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0.021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324 (2)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Events dated to the fifteenth of a month excluded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0.32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−0.60 to 1.35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0.27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297 (3)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National-level events only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0.98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−1.13 to 3.01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0.17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245 (4)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Monthly panel (six months of history and outcome)</w:t>
            </w:r>
          </w:p>
        </w:tc>
        <w:tc>
          <w:tcPr>
            <w:tcW w:type="dxa" w:w="12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−0.55</w:t>
            </w:r>
          </w:p>
        </w:tc>
        <w:tc>
          <w:tcPr>
            <w:tcW w:type="dxa" w:w="1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−2.77 to 1.22</w:t>
            </w:r>
          </w:p>
        </w:tc>
        <w:tc>
          <w:tcPr>
            <w:tcW w:type="dxa" w:w="133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0.70</w:t>
            </w:r>
          </w:p>
        </w:tc>
        <w:tc>
          <w:tcPr>
            <w:tcW w:type="dxa" w:w="135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 (2)</w:t>
            </w:r>
          </w:p>
        </w:tc>
      </w:tr>
      <w:tr>
        <w:trPr>
          <w:cantSplit/>
        </w:trPr>
        <w:tc>
          <w:tcPr>
            <w:tcW w:type="dxa" w:w="3877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PSOE excluded (releases dated to the first of a month; post hoc)</w:t>
            </w:r>
          </w:p>
        </w:tc>
        <w:tc>
          <w:tcPr>
            <w:tcW w:type="dxa" w:w="125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0.37</w:t>
            </w:r>
          </w:p>
        </w:tc>
        <w:tc>
          <w:tcPr>
            <w:tcW w:type="dxa" w:w="153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−0.61 to 1.44</w:t>
            </w:r>
          </w:p>
        </w:tc>
        <w:tc>
          <w:tcPr>
            <w:tcW w:type="dxa" w:w="1334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0.24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305 (3)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