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12F0" w14:textId="78DF4B62"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This is a book about class and politics. It is a topic that has been the subject of inquiry for more than a </w:t>
      </w:r>
      <w:proofErr w:type="gramStart"/>
      <w:r w:rsidRPr="00A9619E">
        <w:rPr>
          <w:rFonts w:ascii="Times New Roman" w:hAnsi="Times New Roman" w:cs="Times New Roman"/>
        </w:rPr>
        <w:t>century, but</w:t>
      </w:r>
      <w:proofErr w:type="gramEnd"/>
      <w:r w:rsidRPr="00A9619E">
        <w:rPr>
          <w:rFonts w:ascii="Times New Roman" w:hAnsi="Times New Roman" w:cs="Times New Roman"/>
        </w:rPr>
        <w:t xml:space="preserve"> is today as acute as ever. Social scientists’ interest in the crucial role of social class for various political outcomes goes back to Marx and Weber, and social class retained its position as one of the key concepts in sociology and political science throughout the post-war years, not the least as a prominent predictor for electoral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(Alford 1962) and of state policies (Stephens 1979).</w:t>
      </w:r>
    </w:p>
    <w:p w14:paraId="6886B126" w14:textId="26637FC5"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But why study class and politics today? Some scholars were ready to declare class politics as dead – or at least dying – already decades ago. Early literature on electoral dealignment, for instance, argued that class had, since the 1960s, become increasingly irrelevant for political </w:t>
      </w:r>
      <w:proofErr w:type="spellStart"/>
      <w:r w:rsidRPr="00A9619E">
        <w:rPr>
          <w:rFonts w:ascii="Times New Roman" w:hAnsi="Times New Roman" w:cs="Times New Roman"/>
        </w:rPr>
        <w:t>behaviour</w:t>
      </w:r>
      <w:proofErr w:type="spellEnd"/>
      <w:r w:rsidRPr="00A9619E">
        <w:rPr>
          <w:rFonts w:ascii="Times New Roman" w:hAnsi="Times New Roman" w:cs="Times New Roman"/>
        </w:rPr>
        <w:t>, as traditional working-class groups shrunk in size and electoral volatility increased (e.g. Dalton et al. 1984). Some scholars then suggested that class-based voting had become replaced by issue-oriented voting, where single issues make voters move between parties from one election to the next (e.g. Katz &amp; Mair 1995, 2009; Green-Pedersen 2019).</w:t>
      </w:r>
    </w:p>
    <w:p>
      <w:pPr>
        <w:jc w:val="center"/>
      </w:pPr>
      <w:r>
        <w:t>[Figure 1 about here]</w:t>
      </w:r>
    </w:p>
    <w:p w14:paraId="46D776BD" w14:textId="39FDD26D"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But class never disappeared. Although commentators such as Francis Fukuyama (2012 [1992]) were ready to pronounce the “end of history” and, similarly, an end to class divisions, this did not come to pass. Instead, new forms of contentious politics have emerged, both </w:t>
      </w:r>
      <w:proofErr w:type="gramStart"/>
      <w:r w:rsidRPr="00A9619E">
        <w:rPr>
          <w:rFonts w:ascii="Times New Roman" w:hAnsi="Times New Roman" w:cs="Times New Roman"/>
        </w:rPr>
        <w:t>at</w:t>
      </w:r>
      <w:proofErr w:type="gramEnd"/>
      <w:r w:rsidRPr="00A9619E">
        <w:rPr>
          <w:rFonts w:ascii="Times New Roman" w:hAnsi="Times New Roman" w:cs="Times New Roman"/>
        </w:rPr>
        <w:t xml:space="preserve"> the left and right sides of the political spectrum. Perhaps the most successful, and persistent, example is the populist radical right-wing parties, which started to emerge in the mid-1980s and that has spread and </w:t>
      </w:r>
      <w:proofErr w:type="gramStart"/>
      <w:r w:rsidRPr="00A9619E">
        <w:rPr>
          <w:rFonts w:ascii="Times New Roman" w:hAnsi="Times New Roman" w:cs="Times New Roman"/>
        </w:rPr>
        <w:t>grown in size</w:t>
      </w:r>
      <w:proofErr w:type="gramEnd"/>
      <w:r w:rsidRPr="00A9619E">
        <w:rPr>
          <w:rFonts w:ascii="Times New Roman" w:hAnsi="Times New Roman" w:cs="Times New Roman"/>
        </w:rPr>
        <w:t xml:space="preserve"> throughout the years. In an increasing </w:t>
      </w:r>
      <w:proofErr w:type="gramStart"/>
      <w:r w:rsidRPr="00A9619E">
        <w:rPr>
          <w:rFonts w:ascii="Times New Roman" w:hAnsi="Times New Roman" w:cs="Times New Roman"/>
        </w:rPr>
        <w:t>amount</w:t>
      </w:r>
      <w:proofErr w:type="gramEnd"/>
      <w:r w:rsidRPr="00A9619E">
        <w:rPr>
          <w:rFonts w:ascii="Times New Roman" w:hAnsi="Times New Roman" w:cs="Times New Roman"/>
        </w:rPr>
        <w:t xml:space="preserve"> of countries – Austria, Switzerland, Denmark, Italy, the Netherlands – populist radical right-wing parties have become pivotal players in the building of parliamentary majorities (Afonso 2015; Mudde 2019), and </w:t>
      </w:r>
      <w:r w:rsidRPr="00A9619E">
        <w:rPr>
          <w:rFonts w:ascii="Times New Roman" w:hAnsi="Times New Roman" w:cs="Times New Roman"/>
        </w:rPr>
        <w:lastRenderedPageBreak/>
        <w:t xml:space="preserve">looking outside of Western Europe, radical right-wing parties and politicians have reached executive positions in e.g. Poland, Hungary, Brazil, and the US. Scholars disagree on whether it is primarily socio-economic grievances (e.g.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et al. 2008, 2012;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1995) or a cultural backlash (e.g. Norris &amp; Inglehart 2019) that fuels the populist radical right-wing parties, but across these camps a consensus has emerged on the “</w:t>
      </w:r>
      <w:proofErr w:type="spellStart"/>
      <w:r w:rsidRPr="00A9619E">
        <w:rPr>
          <w:rFonts w:ascii="Times New Roman" w:hAnsi="Times New Roman" w:cs="Times New Roman"/>
        </w:rPr>
        <w:t>proletarisation</w:t>
      </w:r>
      <w:proofErr w:type="spellEnd"/>
      <w:r w:rsidRPr="00A9619E">
        <w:rPr>
          <w:rFonts w:ascii="Times New Roman" w:hAnsi="Times New Roman" w:cs="Times New Roman"/>
        </w:rPr>
        <w:t xml:space="preserve">” of the populist radical right’s electoral base (Rydgren 2013;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Oesch &amp;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9 (printed p. 2) --&gt;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In other words, the relative share of working-class voters among the electorates of populist radical right-wing parties has tended to increase over time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2013). Without the strong support of working-class voters, the populist radical right-wing parties would have been much </w:t>
      </w:r>
      <w:proofErr w:type="gramStart"/>
      <w:r w:rsidRPr="00A9619E">
        <w:rPr>
          <w:rFonts w:ascii="Times New Roman" w:hAnsi="Times New Roman" w:cs="Times New Roman"/>
        </w:rPr>
        <w:t>smaller</w:t>
      </w:r>
      <w:proofErr w:type="gramEnd"/>
      <w:r w:rsidRPr="00A9619E">
        <w:rPr>
          <w:rFonts w:ascii="Times New Roman" w:hAnsi="Times New Roman" w:cs="Times New Roman"/>
        </w:rPr>
        <w:t xml:space="preserve"> and their political influence would likely have been rather marginal. According to Oesch and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about a half of their electorate is found among production and service workers.</w:t>
      </w:r>
    </w:p>
    <w:p>
      <w:pPr>
        <w:jc w:val="center"/>
      </w:pPr>
      <w:r>
        <w:t>[Figure 2 about here]</w:t>
      </w:r>
    </w:p>
    <w:p>
      <w:pPr>
        <w:jc w:val="center"/>
      </w:pPr>
      <w:r>
        <w:t>[Figure 3 about here]</w:t>
      </w:r>
    </w:p>
    <w:p w14:paraId="4F40152F" w14:textId="5A735345"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rise of the populist radical right has been accompanied </w:t>
      </w:r>
      <w:proofErr w:type="gramStart"/>
      <w:r w:rsidRPr="00A9619E">
        <w:rPr>
          <w:rFonts w:ascii="Times New Roman" w:hAnsi="Times New Roman" w:cs="Times New Roman"/>
        </w:rPr>
        <w:t>with</w:t>
      </w:r>
      <w:proofErr w:type="gramEnd"/>
      <w:r w:rsidRPr="00A9619E">
        <w:rPr>
          <w:rFonts w:ascii="Times New Roman" w:hAnsi="Times New Roman" w:cs="Times New Roman"/>
        </w:rPr>
        <w:t xml:space="preserve"> a drastic decline in the average vote share of Social Democratic parties across Western democracies. For example, the Social Democrats have in the past two decades lost 8.1 percentage points in support in Sweden, 5.2 in Finland, 16.4 in France, and a full 20.4 percentage points in Germany. As was mentioned above, the apparent dealignment between voters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led some scholars to conclude that class position no longer matters for voting choice. Yet it has become clear in the recent decade that inequalities between socio-economically, spatially, and ethnically divided groups in Western societies are still persistent (e.g. Piketty 2014) and continue to matter for political outcomes. Hence, scholars such as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and Rehm (2015) and Oesch (2008, 2013) have modified the earlier argument, stating that class continues to matter, even though the preferences and voting choices of class segments may be different today than in the past. As Gingrich and Häusermann (2015: 52) put it, there has been “electoral class *realignment*, not *dealignment*.”</w:t>
      </w:r>
    </w:p>
    <w:p w14:paraId="17CE624C" w14:textId="154E7654"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One of the crucial questions is how these de- and realignment processes happened and why they vary across countries: in other words, how the shift of working-class voters from the left to the populist radical right came to be. This is where the present book comes in. While much of the previous literature has been looking primarily on social and economic factors, in this book we focus on the importance of political factors. More specifically, we </w:t>
      </w:r>
      <w:proofErr w:type="spellStart"/>
      <w:r w:rsidRPr="00A9619E">
        <w:rPr>
          <w:rFonts w:ascii="Times New Roman" w:hAnsi="Times New Roman" w:cs="Times New Roman"/>
        </w:rPr>
        <w:t>analyse</w:t>
      </w:r>
      <w:proofErr w:type="spellEnd"/>
      <w:r w:rsidRPr="00A9619E">
        <w:rPr>
          <w:rFonts w:ascii="Times New Roman" w:hAnsi="Times New Roman" w:cs="Times New Roman"/>
        </w:rPr>
        <w:t xml:space="preserve"> the active agency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(Social Democrats) and trade unions as well as the populist radical right-wing parties, in bringing about the observed electoral realignment. More specifically, the book asks which programmatic and strategic responses the Social Democrats have deployed in response to the populist radical right-wing parties’ mobilization of parts of their core constituencies? We hence emphasize the strategic supply-side of electoral politics in mobilizing working-class voters. A key contribution the book makes is also to emphasize the role of trade unions in the re- and dealignment processes. Our expectation is that strong unions, associated with the political left, may sustain working-class identities and work as a shield against populist radical right-wing party mobilization (Cf.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1999;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2020; Rydgren 2002).</w:t>
      </w:r>
    </w:p>
    <w:p>
      <w:pPr>
        <w:jc w:val="center"/>
      </w:pPr>
      <w:r>
        <w:t>[Figure 4 about here]</w:t>
      </w:r>
    </w:p>
    <w:p w14:paraId="639DB5F4" w14:textId="08584A63"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book looks at contemporary class politics in a very particular geographical location, the Nordic countries. This is because the Nordic countries, once the emblematic loci of Social Democracy, including strong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parties and encompassing union coverage, are now striking </w:t>
      </w:r>
      <w:r w:rsidRPr="00A9619E">
        <w:rPr>
          <w:rFonts w:ascii="Times New Roman" w:hAnsi="Times New Roman" w:cs="Times New Roman"/>
        </w:rPr>
        <w:lastRenderedPageBreak/>
        <w:t xml:space="preserve">examples of the decline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weakening union organization, and the parallel rise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10 (printed p. 3) --&gt; of the populist radical right. The average vote share of Social Democratic parties in the Nordic countries – Sweden, Finland, Norway, and Denmark – was 33.9 per cent in the 1990s: by the 2010s, it has dropped to 25.3 per cent. In Sweden, the decline is even more drastic, as the Social Democrats’ vote share has dropped from 45.3 per cent in 1994 to 28.1 per cent in 2018. The opposite is true for the populist radical right. While in the 1990s these parties reached, on average, 6.2 per cent of the vote in the Nordic countries, in the 2010s they got 14.9 per cent. Hence, while the Nordic Social Democratic parties still are comparatively strong, we believe that their notable decline, coupled with the rise of the populist radical right, makes the Nordic countries an illustrative case of a dynamic process, which is presently taking place across the Western democracies: the crisis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parallel rise the populist radical right.</w:t>
      </w:r>
    </w:p>
    <w:p w14:paraId="05ACB80B" w14:textId="77777777"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In this introductory chapter, we do three things. First, we explain why, theoretically, we should expect political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w:t>
      </w:r>
      <w:proofErr w:type="gramStart"/>
      <w:r w:rsidRPr="00A9619E">
        <w:rPr>
          <w:rFonts w:ascii="Times New Roman" w:hAnsi="Times New Roman" w:cs="Times New Roman"/>
        </w:rPr>
        <w:t>right, and</w:t>
      </w:r>
      <w:proofErr w:type="gramEnd"/>
      <w:r w:rsidRPr="00A9619E">
        <w:rPr>
          <w:rFonts w:ascii="Times New Roman" w:hAnsi="Times New Roman" w:cs="Times New Roman"/>
        </w:rPr>
        <w:t xml:space="preserve"> formulate some expectations about how this competition might look like. Second, we motivate our case selection. We demonstrate the patterns of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decline and the growth of populist radical right-wing parties in the Nordic countries, and we show how these political groups </w:t>
      </w:r>
      <w:proofErr w:type="gramStart"/>
      <w:r w:rsidRPr="00A9619E">
        <w:rPr>
          <w:rFonts w:ascii="Times New Roman" w:hAnsi="Times New Roman" w:cs="Times New Roman"/>
        </w:rPr>
        <w:t>to a large extent compete</w:t>
      </w:r>
      <w:proofErr w:type="gramEnd"/>
      <w:r w:rsidRPr="00A9619E">
        <w:rPr>
          <w:rFonts w:ascii="Times New Roman" w:hAnsi="Times New Roman" w:cs="Times New Roman"/>
        </w:rPr>
        <w:t xml:space="preserve"> over the same voters. We also briefly introduce our case studies. Third, we lay out our argument and our specific research questions. The rest of the book is dedicated to the case studies – Sweden, Finland, Norway, and Denmark – and finally, the last chapter discusses the findings and concludes.</w:t>
      </w:r>
    </w:p>
    <w:p w14:paraId="4E1D3E36" w14:textId="77777777" w:rsidR="00A9619E" w:rsidRPr="00A9619E" w:rsidRDefault="00A9619E" w:rsidP="00A9619E">
      <w:pPr>
        <w:rPr>
          <w:rFonts w:ascii="Times New Roman" w:hAnsi="Times New Roman" w:cs="Times New Roman"/>
        </w:rPr>
      </w:pPr>
    </w:p>
    <w:p w14:paraId="39500B4B" w14:textId="7E1E3C71"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radical right – a new cleavage?</w:t>
      </w:r>
    </w:p>
    <w:p w14:paraId="4F806636" w14:textId="6901C9A3"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In this section we want to further motivate the purpose of this book. Why should we study electoral competition between the populist radical right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particularly? After all, the classic spatial theory of party competition (Downs 1957) would predict parties to compete based on proximity along the socio-economic, left-right axis. According to this theory, then, we would expect competition particularly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-right and the radical right.</w:t>
      </w:r>
    </w:p>
    <w:p w14:paraId="6083C751" w14:textId="7C730CDE"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Research has indeed demonstrated that the movement of working-class voters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right is no straightforward phenomenon.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 (2017) have studied the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of voters who have abandoned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asking two questions: which group of voters is it that abandons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to which party do these voters </w:t>
      </w:r>
      <w:proofErr w:type="gramStart"/>
      <w:r w:rsidRPr="00A9619E">
        <w:rPr>
          <w:rFonts w:ascii="Times New Roman" w:hAnsi="Times New Roman" w:cs="Times New Roman"/>
        </w:rPr>
        <w:t>go</w:t>
      </w:r>
      <w:proofErr w:type="gramEnd"/>
      <w:r w:rsidRPr="00A9619E">
        <w:rPr>
          <w:rFonts w:ascii="Times New Roman" w:hAnsi="Times New Roman" w:cs="Times New Roman"/>
        </w:rPr>
        <w:t xml:space="preserve">? The important thing to note is the premise that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Social Democratic parties today struggle with an electoral dilemma, a trade-off between a working-class and middle-class constituency. The working class has, in recent couple of decades, increasingly been replaced by the middle class, as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-left’s core electorate (see also Gingrich &amp; Häusermann 2015: 44). Yet, </w:t>
      </w:r>
      <w:proofErr w:type="gramStart"/>
      <w:r w:rsidRPr="00A9619E">
        <w:rPr>
          <w:rFonts w:ascii="Times New Roman" w:hAnsi="Times New Roman" w:cs="Times New Roman"/>
        </w:rPr>
        <w:t>in order for</w:t>
      </w:r>
      <w:proofErr w:type="gramEnd"/>
      <w:r w:rsidRPr="00A9619E">
        <w:rPr>
          <w:rFonts w:ascii="Times New Roman" w:hAnsi="Times New Roman" w:cs="Times New Roman"/>
        </w:rPr>
        <w:t xml:space="preserve"> the Social Democratic parties to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11 (printed p. 4) --&gt; retain their vote shares, they need both the middle- and working-class voters, and therefore </w:t>
      </w:r>
      <w:r w:rsidRPr="00A9619E">
        <w:rPr>
          <w:rFonts w:ascii="Times New Roman" w:hAnsi="Times New Roman" w:cs="Times New Roman"/>
        </w:rPr>
        <w:lastRenderedPageBreak/>
        <w:t xml:space="preserve">oftentimes appear divided, trying to balance between the distinct preferences of these voter groups.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 (2017) conclude that the class profile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matters for the potential defectors. If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retains a strong working-class profile, </w:t>
      </w:r>
      <w:proofErr w:type="gramStart"/>
      <w:r w:rsidRPr="00A9619E">
        <w:rPr>
          <w:rFonts w:ascii="Times New Roman" w:hAnsi="Times New Roman" w:cs="Times New Roman"/>
        </w:rPr>
        <w:t>the propensity of particularly the</w:t>
      </w:r>
      <w:proofErr w:type="gramEnd"/>
      <w:r w:rsidRPr="00A9619E">
        <w:rPr>
          <w:rFonts w:ascii="Times New Roman" w:hAnsi="Times New Roman" w:cs="Times New Roman"/>
        </w:rPr>
        <w:t xml:space="preserve"> unionized workers to leave declines. But if the party has a strong middle-class profile, then working-class voters are more likely to leave. Second, they show that almost half – some 45 per cent – of those who leave a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do, in fact, move to vote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while only 8 per cent go on to vote for the radical right. This would suggest merely weak electoral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w:t>
      </w:r>
      <w:proofErr w:type="gramStart"/>
      <w:r w:rsidRPr="00A9619E">
        <w:rPr>
          <w:rFonts w:ascii="Times New Roman" w:hAnsi="Times New Roman" w:cs="Times New Roman"/>
        </w:rPr>
        <w:t>right</w:t>
      </w:r>
      <w:proofErr w:type="gramEnd"/>
      <w:r w:rsidRPr="00A9619E">
        <w:rPr>
          <w:rFonts w:ascii="Times New Roman" w:hAnsi="Times New Roman" w:cs="Times New Roman"/>
        </w:rPr>
        <w:t xml:space="preserve">. Yet,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Pontusson’s dataset does not include the most recent years, and the authors acknowledge that the direct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radical right is likely to have increased since then. Our results back this conclusion. In our country cases, we see that up to early 2010s,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tended to regard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as their main adversary, but in the most recent years, the direct threat from the populist radical right has been noticeably stronger. Hence, we have reason to expect significant political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populist radical right.</w:t>
      </w:r>
    </w:p>
    <w:p>
      <w:pPr>
        <w:jc w:val="center"/>
      </w:pPr>
      <w:r>
        <w:t>[Figure 5 about here]</w:t>
      </w:r>
    </w:p>
    <w:p w14:paraId="37E69327" w14:textId="3EC0DACA" w:rsidR="00A9619E" w:rsidRPr="00A9619E" w:rsidRDefault="00A9619E" w:rsidP="00A9619E">
      <w:pPr>
        <w:rPr>
          <w:rFonts w:ascii="Times New Roman" w:hAnsi="Times New Roman" w:cs="Times New Roman"/>
        </w:rPr>
      </w:pPr>
      <w:r w:rsidRPr="00A9619E">
        <w:rPr>
          <w:rFonts w:ascii="Times New Roman" w:hAnsi="Times New Roman" w:cs="Times New Roman"/>
        </w:rPr>
        <w:t>But why? Why do working-class voters choose to vote for the radical right? Of paramount importance here is the increased salience of socio-cultural political issues, relative to the socio-economic ones. The “new politics” literature has long acknowledged the existence of a new, cultural conflict dimension in Western democracies. According to Judith Stein (2010: 13), as of the late 1960s, “[p]</w:t>
      </w:r>
      <w:proofErr w:type="spellStart"/>
      <w:r w:rsidRPr="00A9619E">
        <w:rPr>
          <w:rFonts w:ascii="Times New Roman" w:hAnsi="Times New Roman" w:cs="Times New Roman"/>
        </w:rPr>
        <w:t>ostwar</w:t>
      </w:r>
      <w:proofErr w:type="spellEnd"/>
      <w:r w:rsidRPr="00A9619E">
        <w:rPr>
          <w:rFonts w:ascii="Times New Roman" w:hAnsi="Times New Roman" w:cs="Times New Roman"/>
        </w:rPr>
        <w:t xml:space="preserve"> prosperity altered the analysis of modern society (and) [a]</w:t>
      </w:r>
      <w:proofErr w:type="spellStart"/>
      <w:r w:rsidRPr="00A9619E">
        <w:rPr>
          <w:rFonts w:ascii="Times New Roman" w:hAnsi="Times New Roman" w:cs="Times New Roman"/>
        </w:rPr>
        <w:t>ffluence</w:t>
      </w:r>
      <w:proofErr w:type="spellEnd"/>
      <w:r w:rsidRPr="00A9619E">
        <w:rPr>
          <w:rFonts w:ascii="Times New Roman" w:hAnsi="Times New Roman" w:cs="Times New Roman"/>
        </w:rPr>
        <w:t xml:space="preserve"> fostered new thinking about leisure, human relations, consumerism and a host of extra-economic concerns.” Starting from the university campuses of the United States, a cultural revolution began to transform the post-war structure of political conflict. New social movements and the New Left – socialist, Green – parties politicized issues pertaining to new values and lifestyles, such as gender and sexual minority rights. Over time, this new, socio-cultural issue dimension </w:t>
      </w:r>
      <w:r w:rsidRPr="00A9619E">
        <w:rPr>
          <w:rFonts w:ascii="Times New Roman" w:hAnsi="Times New Roman" w:cs="Times New Roman"/>
        </w:rPr>
        <w:lastRenderedPageBreak/>
        <w:t xml:space="preserve">acquired a position as a second major axis of political competition, cross-cutting the left-right distributive one. As a result, the established parties and their electorates, with preferences organized along the socio-economic left-right axis, began to experience growing internal friction. This was particularly consequential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Namely, in an environment of growing prosperity, the assumption became that “historic conflicts between capital and labor had been resolved” (ibid). Class politics seemed to be losing relevance. The Left and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traditional carriers of class grievances, </w:t>
      </w:r>
      <w:proofErr w:type="gramStart"/>
      <w:r w:rsidRPr="00A9619E">
        <w:rPr>
          <w:rFonts w:ascii="Times New Roman" w:hAnsi="Times New Roman" w:cs="Times New Roman"/>
        </w:rPr>
        <w:t>accordingly</w:t>
      </w:r>
      <w:proofErr w:type="gramEnd"/>
      <w:r w:rsidRPr="00A9619E">
        <w:rPr>
          <w:rFonts w:ascii="Times New Roman" w:hAnsi="Times New Roman" w:cs="Times New Roman"/>
        </w:rPr>
        <w:t xml:space="preserve"> began to emphasize the socio-cultural issue dimension in their political offer. In doing this, they were also reacting to the above-mentioned changes in their voter constituencies, where the old manual working class was decreasing in size and being replaced by the growing ranks of middle-class professionals (e.g.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&amp;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2013). The latter group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12 (printed p. 5) --&gt; tended to hold much more liberal attitudes towards socio-cultural issues than did the working class, and it was to them the New Left was now speaking. Yet, as also the Social Democratic parties moved to a New Left direction, the old working class was left with less representation than previously, both in the socio-economic and the socio-cultural dimensions. Sensing this void in party offer, as of the 1980s, the new populist radical right-wing parties mobilized the left-behind groups of working- class voters with a traditional-authoritarian socio-cultural agenda. What emerged was the GAL–TAN[^ch1-1] axis of political competition, pitting the alternative-green-left parties against traditional-authoritarian-nationalistic ones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1994; </w:t>
      </w:r>
      <w:proofErr w:type="spellStart"/>
      <w:r w:rsidRPr="00A9619E">
        <w:rPr>
          <w:rFonts w:ascii="Times New Roman" w:hAnsi="Times New Roman" w:cs="Times New Roman"/>
        </w:rPr>
        <w:t>Hooghe</w:t>
      </w:r>
      <w:proofErr w:type="spellEnd"/>
      <w:r w:rsidRPr="00A9619E">
        <w:rPr>
          <w:rFonts w:ascii="Times New Roman" w:hAnsi="Times New Roman" w:cs="Times New Roman"/>
        </w:rPr>
        <w:t xml:space="preserve"> &amp; Marks 2009). A main thing to observe, therefore, about the populist radical right-wing party voting is that voters choose these parties primarily based on their policy positions along the socio-cultural GAL–TAN axis, rather than the socio-economic one. Along this socio-cultural axis, anti-immigration attitudes and nationalism</w:t>
      </w:r>
      <w:proofErr w:type="gramStart"/>
      <w:r w:rsidRPr="00A9619E">
        <w:rPr>
          <w:rFonts w:ascii="Times New Roman" w:hAnsi="Times New Roman" w:cs="Times New Roman"/>
        </w:rPr>
        <w:t>, in particular, unite</w:t>
      </w:r>
      <w:proofErr w:type="gramEnd"/>
      <w:r w:rsidRPr="00A9619E">
        <w:rPr>
          <w:rFonts w:ascii="Times New Roman" w:hAnsi="Times New Roman" w:cs="Times New Roman"/>
        </w:rPr>
        <w:t xml:space="preserve"> radical right-wing voters whilst also low trust in political institutions plays an important role (Rydgren 2008;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2018).</w:t>
      </w:r>
    </w:p>
    <w:p w14:paraId="03838B83" w14:textId="07963CB2" w:rsidR="00A9619E" w:rsidRPr="00A9619E" w:rsidRDefault="00A9619E" w:rsidP="00A9619E">
      <w:pPr>
        <w:rPr>
          <w:rFonts w:ascii="Times New Roman" w:hAnsi="Times New Roman" w:cs="Times New Roman"/>
        </w:rPr>
      </w:pPr>
      <w:r w:rsidRPr="00A9619E">
        <w:rPr>
          <w:rFonts w:ascii="Times New Roman" w:hAnsi="Times New Roman" w:cs="Times New Roman"/>
        </w:rPr>
        <w:t>Who then are these voters, united behind the socio-cultural program of the populist radical right? Research has demonstrated that there are important socio-demographic patterns in radical right-wing support. Male voters (</w:t>
      </w:r>
      <w:proofErr w:type="spellStart"/>
      <w:r w:rsidRPr="00A9619E">
        <w:rPr>
          <w:rFonts w:ascii="Times New Roman" w:hAnsi="Times New Roman" w:cs="Times New Roman"/>
        </w:rPr>
        <w:t>Coffé</w:t>
      </w:r>
      <w:proofErr w:type="spellEnd"/>
      <w:r w:rsidRPr="00A9619E">
        <w:rPr>
          <w:rFonts w:ascii="Times New Roman" w:hAnsi="Times New Roman" w:cs="Times New Roman"/>
        </w:rPr>
        <w:t xml:space="preserve"> 2018), working-class voters (Rydgren 2013;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and, to an extent, small business owners are overrepresented among populist radical right-wing parties’ supporters, as are lower educated voters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&amp; Stubager 2013;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By contrast, highly educated voters, in particular socio-cultural professionals, such as employees in </w:t>
      </w:r>
      <w:proofErr w:type="gramStart"/>
      <w:r w:rsidRPr="00A9619E">
        <w:rPr>
          <w:rFonts w:ascii="Times New Roman" w:hAnsi="Times New Roman" w:cs="Times New Roman"/>
        </w:rPr>
        <w:t>the health</w:t>
      </w:r>
      <w:proofErr w:type="gramEnd"/>
      <w:r w:rsidRPr="00A9619E">
        <w:rPr>
          <w:rFonts w:ascii="Times New Roman" w:hAnsi="Times New Roman" w:cs="Times New Roman"/>
        </w:rPr>
        <w:t xml:space="preserve"> care, education, social welfare, and the media sectors, are underrepresented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&amp; Stubager 2013;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Lubbers et al. 2002). However, this relationship seems to be curvilinear: the populist radical right receives its strongest support from the mid-school stratum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&amp; Carter 2006; Evans 2005). Notably, with respect to these socio-demographic patterns – gender, education, professional, and socio-economic status – the electorates of the populist radical right and the contemporary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tend to represent mirror images of each other. The working-class electorate is the overlapping constituency that these voter groups compete over, but otherwise, both in terms of issue positions and electorates, we would expect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populist radical right to be rather dissimilar.</w:t>
      </w:r>
    </w:p>
    <w:p w14:paraId="59D46502" w14:textId="29A32CD1"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Of key interest for this book is to understand by which means the populist radical right has been able to secure such exceptionally high support among the working class, in particular. This is a key factor in understanding the success of the contemporary radical right in general: had these parties not been able to make such inroads among this segment of the electorate, they would have been more marginal in size – after all, about half of their electorate is found among production and service workers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11). Our argument is that this hinges on the consistently high salience of socio-cultural politics, which the populist radical right-wing parties have been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13 (printed p. 6) --&gt; successfully advocating. In other words, issue competition behind the relative saliences of the socio-cultural and socio-economic conflict dimensions is paramount to the relative decline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sequential rise of the populist radical right. The argument combines the two main strands of explaining the radical right’s electoral success: one focusing on the demand-side of politics and the other on the supply-side. The macro-structural changes described by the demand-side school have been important in de-politicizing socio-economic conflict; </w:t>
      </w:r>
      <w:proofErr w:type="gramStart"/>
      <w:r w:rsidRPr="00A9619E">
        <w:rPr>
          <w:rFonts w:ascii="Times New Roman" w:hAnsi="Times New Roman" w:cs="Times New Roman"/>
        </w:rPr>
        <w:t>yet,</w:t>
      </w:r>
      <w:proofErr w:type="gramEnd"/>
      <w:r w:rsidRPr="00A9619E">
        <w:rPr>
          <w:rFonts w:ascii="Times New Roman" w:hAnsi="Times New Roman" w:cs="Times New Roman"/>
        </w:rPr>
        <w:t xml:space="preserve"> the structural changes only become political reality via deliberate political agency. Therefore, the supply-side of politics is paramount to explaining the rise of the populist radical right.</w:t>
      </w:r>
    </w:p>
    <w:p w14:paraId="5C2E0CE1" w14:textId="73FB1195" w:rsidR="00A9619E" w:rsidRPr="00A9619E" w:rsidRDefault="00A9619E" w:rsidP="00A9619E">
      <w:pPr>
        <w:rPr>
          <w:rFonts w:ascii="Times New Roman" w:hAnsi="Times New Roman" w:cs="Times New Roman"/>
        </w:rPr>
      </w:pPr>
      <w:proofErr w:type="gramStart"/>
      <w:r w:rsidRPr="00A9619E">
        <w:rPr>
          <w:rFonts w:ascii="Times New Roman" w:hAnsi="Times New Roman" w:cs="Times New Roman"/>
        </w:rPr>
        <w:t>In order to</w:t>
      </w:r>
      <w:proofErr w:type="gramEnd"/>
      <w:r w:rsidRPr="00A9619E">
        <w:rPr>
          <w:rFonts w:ascii="Times New Roman" w:hAnsi="Times New Roman" w:cs="Times New Roman"/>
        </w:rPr>
        <w:t xml:space="preserve"> spell out our argument, let us briefly go through the two main schools of thought used to explain the electoral fortunes of the radical right. The first </w:t>
      </w:r>
      <w:proofErr w:type="spellStart"/>
      <w:r w:rsidRPr="00A9619E">
        <w:rPr>
          <w:rFonts w:ascii="Times New Roman" w:hAnsi="Times New Roman" w:cs="Times New Roman"/>
        </w:rPr>
        <w:t>centres</w:t>
      </w:r>
      <w:proofErr w:type="spellEnd"/>
      <w:r w:rsidRPr="00A9619E">
        <w:rPr>
          <w:rFonts w:ascii="Times New Roman" w:hAnsi="Times New Roman" w:cs="Times New Roman"/>
        </w:rPr>
        <w:t xml:space="preserve"> on changes in the demand from the electorate, which then affects voting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Here, </w:t>
      </w:r>
      <w:proofErr w:type="gramStart"/>
      <w:r w:rsidRPr="00A9619E">
        <w:rPr>
          <w:rFonts w:ascii="Times New Roman" w:hAnsi="Times New Roman" w:cs="Times New Roman"/>
        </w:rPr>
        <w:t>the literature</w:t>
      </w:r>
      <w:proofErr w:type="gramEnd"/>
      <w:r w:rsidRPr="00A9619E">
        <w:rPr>
          <w:rFonts w:ascii="Times New Roman" w:hAnsi="Times New Roman" w:cs="Times New Roman"/>
        </w:rPr>
        <w:t xml:space="preserve"> is somewhat divided between the economic and cultural explanations. The *economic* demand-side explanation for radical-right voting tends to be rooted in the so-called grievance theory (e.g. Koopmans et al. 2005), where the argument is that the large structural changes, such as globalization and post-industrialization, which have hit Western societies in the past couple of decades, have increased feelings of discontent and grievance among the population. These changes have treated population groups differently, thus creating new groups of “winners” and “losers.” Among the losers are workers that had relatively secure positions in the industrial society, such as the manual working class in the male-dominated, heavy industry. As Afonso (2015: 274) has observed, the profile of a typical, contemporary populist radical right-wing voter is that of a “low-skilled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 insider,” referring to the “traditionally left-leaning low-skilled workers in secure employment, such as blue-collar male workers from the private sector and low-skilled workers in sheltered professions.”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in the post-industrial society have been characterized as dualized, segmented, or fragmented (e.g. Betz 1994; Beck 1992). In post-industrial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groups with different skill levels enjoy noticeably different working conditions, such that highly educated and skilled individuals enjoy good working conditions, high wages, and </w:t>
      </w:r>
      <w:proofErr w:type="spellStart"/>
      <w:r w:rsidRPr="00A9619E">
        <w:rPr>
          <w:rFonts w:ascii="Times New Roman" w:hAnsi="Times New Roman" w:cs="Times New Roman"/>
        </w:rPr>
        <w:t>favourable</w:t>
      </w:r>
      <w:proofErr w:type="spellEnd"/>
      <w:r w:rsidRPr="00A9619E">
        <w:rPr>
          <w:rFonts w:ascii="Times New Roman" w:hAnsi="Times New Roman" w:cs="Times New Roman"/>
        </w:rPr>
        <w:t xml:space="preserve"> career prospects, whereas lower educated, unskilled workers face insecure employment, poor working conditions, low wages, and high risk of un- and under-employment. These changes have led to what </w:t>
      </w:r>
      <w:proofErr w:type="spellStart"/>
      <w:r w:rsidRPr="00A9619E">
        <w:rPr>
          <w:rFonts w:ascii="Times New Roman" w:hAnsi="Times New Roman" w:cs="Times New Roman"/>
        </w:rPr>
        <w:t>Dahrendorf</w:t>
      </w:r>
      <w:proofErr w:type="spellEnd"/>
      <w:r w:rsidRPr="00A9619E">
        <w:rPr>
          <w:rFonts w:ascii="Times New Roman" w:hAnsi="Times New Roman" w:cs="Times New Roman"/>
        </w:rPr>
        <w:t xml:space="preserve"> (1959) labelled the “decomposition of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where the working class is increasingly divided by skill levels. In the post-industrial economy,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are characterized by a greater emphasis on private services – at the expense of heavy industry – and the accompanying shift to smaller workplaces and irregular </w:t>
      </w:r>
      <w:r w:rsidRPr="00A9619E">
        <w:rPr>
          <w:rFonts w:ascii="Times New Roman" w:hAnsi="Times New Roman" w:cs="Times New Roman"/>
        </w:rPr>
        <w:lastRenderedPageBreak/>
        <w:t xml:space="preserve">employment contracts. As Bartolini (2000: 23) has argued, these processes have resulted in greater workplace heterogeneity, a separation between work and residence that has led to a demise of specific industrial communities, as well as to the decrease in large workplace establishments and to weaker attachment to the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w:t>
      </w:r>
    </w:p>
    <w:p w14:paraId="380173A7" w14:textId="01DE8229"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These structural shifts have been accompanied by a weakening organizational capacity within the working class, particularly in the form of the decline of working-class parties, as well as trade union density. Union organization levels have traditionally been high in the manufacturing industries and the public sector, which are more likely to operate through large establishments, in which the costs of organizing union members are </w:t>
      </w:r>
      <w:proofErr w:type="gramStart"/>
      <w:r w:rsidRPr="00A9619E">
        <w:rPr>
          <w:rFonts w:ascii="Times New Roman" w:hAnsi="Times New Roman" w:cs="Times New Roman"/>
        </w:rPr>
        <w:t>lower</w:t>
      </w:r>
      <w:proofErr w:type="gramEnd"/>
      <w:r w:rsidRPr="00A9619E">
        <w:rPr>
          <w:rFonts w:ascii="Times New Roman" w:hAnsi="Times New Roman" w:cs="Times New Roman"/>
        </w:rPr>
        <w:t xml:space="preserve"> and the tradition of joining has been better established. Workplace organizations – union clubs – have been important in establishing a social custom whereby joining the union is the norm and their existence has been strongly associated with higher union density (Bryson &amp; Gomez 2005; Kjellberg 2001). By contrast, private services generally operate through smaller establishments in which the costs of organizing members are high, the tradition of joining is less well established, workplace organizations in the form of clubs are rarer, and employer resistance is considerably higher (Checchi &amp; Visser 2005; Ebbinghaus et al. 2011; Schnabel 2013). Besides strong unions, facilitated by workplace organization, the heyday of the industrial era also saw the growth and increasing influence of working-class parties. Again, aside from functioning as political representatives of working-class interests in </w:t>
      </w:r>
      <w:proofErr w:type="gramStart"/>
      <w:r w:rsidRPr="00A9619E">
        <w:rPr>
          <w:rFonts w:ascii="Times New Roman" w:hAnsi="Times New Roman" w:cs="Times New Roman"/>
        </w:rPr>
        <w:t>parliaments</w:t>
      </w:r>
      <w:proofErr w:type="gramEnd"/>
      <w:r w:rsidRPr="00A9619E">
        <w:rPr>
          <w:rFonts w:ascii="Times New Roman" w:hAnsi="Times New Roman" w:cs="Times New Roman"/>
        </w:rPr>
        <w:t xml:space="preserve">, these parties typically constituted important social actors as well, in organizing social events and study groups for its members and their families. As working-class parties and, above all, trade unions function as important actors fostering class consciousness and collective class identities among the working class by framing issues and grievances in accordance with working-class ideologies and class interests (e.g. by promoting common economic interest among the workers, and by promoting antagonistic relations between workers and employers) (Betz 1994; Hechter 2004; Kelly 1998), the strength of these organizations greatly contributed to strong and salient class politics. Finally, “worker” is not only a position in the occupational structure, but also an identity. In the industrial era, workers typically shared similar housing, working, and living conditions, and their educational levels were often on par with each other. As they commonly worked in, and lived nearby, large factories in industrial communities or in the cities, they were also to a high degree socially isolated from individuals belonging to other social classes, and social interaction between classes was rare. The impermeability of class borders and the significant similarity in the everyday experience of workers contributed to a clear distinction between the working class and other </w:t>
      </w:r>
      <w:proofErr w:type="gramStart"/>
      <w:r w:rsidRPr="00A9619E">
        <w:rPr>
          <w:rFonts w:ascii="Times New Roman" w:hAnsi="Times New Roman" w:cs="Times New Roman"/>
        </w:rPr>
        <w:t>classes, and</w:t>
      </w:r>
      <w:proofErr w:type="gramEnd"/>
      <w:r w:rsidRPr="00A9619E">
        <w:rPr>
          <w:rFonts w:ascii="Times New Roman" w:hAnsi="Times New Roman" w:cs="Times New Roman"/>
        </w:rPr>
        <w:t xml:space="preserve"> created strong bonds and emotional ties within the class (Bartolini 2000). The commonly shared culture was another factor in promoting strong class consciousness and collective class identities.</w:t>
      </w:r>
    </w:p>
    <w:p w14:paraId="614C92D6" w14:textId="50340A47"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important takeaway for our purposes here is that the structural changes, described above, have weakened the preconditions for salient class politics by corroding the organizational capacity and collective identity of the working class in multiple ways. As the cultural and </w:t>
      </w:r>
      <w:r w:rsidRPr="00A9619E">
        <w:rPr>
          <w:rFonts w:ascii="Times New Roman" w:hAnsi="Times New Roman" w:cs="Times New Roman"/>
        </w:rPr>
        <w:lastRenderedPageBreak/>
        <w:t>economic ties between workers have become looser, class voting has also declined in importance. Consequently, segments of the working class have become available for mobilization by the populist radical right.</w:t>
      </w:r>
    </w:p>
    <w:p w14:paraId="00B50181" w14:textId="777B262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Besides the economic demand-side explanation, also *cultural* factors have been used to explain the electoral success of the populist radical right. As briefly mentioned above, there has been a broad and widely documented value shift in affluent Western societies towards the direction of </w:t>
      </w:r>
      <w:proofErr w:type="gramStart"/>
      <w:r w:rsidRPr="00A9619E">
        <w:rPr>
          <w:rFonts w:ascii="Times New Roman" w:hAnsi="Times New Roman" w:cs="Times New Roman"/>
        </w:rPr>
        <w:t>socially</w:t>
      </w:r>
      <w:proofErr w:type="gramEnd"/>
      <w:r w:rsidRPr="00A9619E">
        <w:rPr>
          <w:rFonts w:ascii="Times New Roman" w:hAnsi="Times New Roman" w:cs="Times New Roman"/>
        </w:rPr>
        <w:t xml:space="preserve"> liberal values (e.g. Norris &amp; Inglehart 2019). As Norris &amp; Inglehart (ibid., 33) describe, the cultural shift has “brought greater emphasis on environmental protection, peace movements, sexual liberalization, democracy and human rights, gender equality, cosmopolitanism, and respect for the rights of homosexuals, immigrants, handicapped people, and ethnic/racial minorities.” But on the opposite side, a backlash in the form of socially conservative values has taken place and found political expression in the populist radical right-wing parties. Simultaneously, the opening up of societies and borders has led to increased immigration and </w:t>
      </w:r>
      <w:proofErr w:type="gramStart"/>
      <w:r w:rsidRPr="00A9619E">
        <w:rPr>
          <w:rFonts w:ascii="Times New Roman" w:hAnsi="Times New Roman" w:cs="Times New Roman"/>
        </w:rPr>
        <w:t>thereby,</w:t>
      </w:r>
      <w:proofErr w:type="gramEnd"/>
      <w:r w:rsidRPr="00A9619E">
        <w:rPr>
          <w:rFonts w:ascii="Times New Roman" w:hAnsi="Times New Roman" w:cs="Times New Roman"/>
        </w:rPr>
        <w:t xml:space="preserve"> cultural diversity in Western societies. The increased ethno-cultural diversity together with the increased value diversity has strengthened the hand of the populist radical right, as a reaction against the cosmopolitan-liberal elites who, allegedly, have brought the value shift about. In sum, these cultural changes have led to a higher salience of the socio-cultural issue dimension, as compared to the socio-economic one, which has advantaged the populist radical right.</w:t>
      </w:r>
    </w:p>
    <w:p w14:paraId="236347D4" w14:textId="4A73874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rise of socio-cultural politics is related to de- and realignment processes, where the ties between voters and parties change and the cleavage dimensions, based on which parties mobilize voters, change in relative salience. In the beginning of this </w:t>
      </w:r>
      <w:proofErr w:type="gramStart"/>
      <w:r w:rsidRPr="00A9619E">
        <w:rPr>
          <w:rFonts w:ascii="Times New Roman" w:hAnsi="Times New Roman" w:cs="Times New Roman"/>
        </w:rPr>
        <w:t>chapter</w:t>
      </w:r>
      <w:proofErr w:type="gramEnd"/>
      <w:r w:rsidRPr="00A9619E">
        <w:rPr>
          <w:rFonts w:ascii="Times New Roman" w:hAnsi="Times New Roman" w:cs="Times New Roman"/>
        </w:rPr>
        <w:t xml:space="preserve"> we said that a key contribution of this book is to explore *how* the de- and realignment processes between the working class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populist radical right-wing parties happened. This is where we bring in the second type of explanation used to account for the rise of the populist radical right: that focusing on the political *supply-side*. In the context of radical right research, supply-side explanations focus on how the strategies of established parties enabled radical right-wing political entrepreneurs to exploit new preferences among the electorates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The supply-side explanations amend the grievance </w:t>
      </w:r>
      <w:proofErr w:type="gramStart"/>
      <w:r w:rsidRPr="00A9619E">
        <w:rPr>
          <w:rFonts w:ascii="Times New Roman" w:hAnsi="Times New Roman" w:cs="Times New Roman"/>
        </w:rPr>
        <w:t>theories,</w:t>
      </w:r>
      <w:proofErr w:type="gramEnd"/>
      <w:r w:rsidRPr="00A9619E">
        <w:rPr>
          <w:rFonts w:ascii="Times New Roman" w:hAnsi="Times New Roman" w:cs="Times New Roman"/>
        </w:rPr>
        <w:t xml:space="preserve"> described </w:t>
      </w:r>
      <w:proofErr w:type="gramStart"/>
      <w:r w:rsidRPr="00A9619E">
        <w:rPr>
          <w:rFonts w:ascii="Times New Roman" w:hAnsi="Times New Roman" w:cs="Times New Roman"/>
        </w:rPr>
        <w:t>above,</w:t>
      </w:r>
      <w:proofErr w:type="gramEnd"/>
      <w:r w:rsidRPr="00A9619E">
        <w:rPr>
          <w:rFonts w:ascii="Times New Roman" w:hAnsi="Times New Roman" w:cs="Times New Roman"/>
        </w:rPr>
        <w:t xml:space="preserve"> by emphasizing that voters will defect from the established </w:t>
      </w:r>
      <w:proofErr w:type="gramStart"/>
      <w:r w:rsidRPr="00A9619E">
        <w:rPr>
          <w:rFonts w:ascii="Times New Roman" w:hAnsi="Times New Roman" w:cs="Times New Roman"/>
        </w:rPr>
        <w:t>parties only</w:t>
      </w:r>
      <w:proofErr w:type="gramEnd"/>
      <w:r w:rsidRPr="00A9619E">
        <w:rPr>
          <w:rFonts w:ascii="Times New Roman" w:hAnsi="Times New Roman" w:cs="Times New Roman"/>
        </w:rPr>
        <w:t xml:space="preserve"> if these fail to supply policies valuable to the potentially defecting voters and/or dismiss the grievances related to the structural economic and cultural changes. Hence, the supply-side explanations point out that to explore the conditions under which the populist radical right succeeds, we need to look at what the established parties do or fail to do.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has, moreover, called for scholarship that “combines study of long-term cleavages with the more short-term strategic perspectives of political parties” and looks at how political actors, with their conflictual relationships, shape the “processes of de- and realignment within certain social groups.” In this book, we seek to fill in the gap identified by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by looking at the strategic actions of Social Democratic parties and trade unions in reaction to the electoral threat of populist radical right-wing parties.</w:t>
      </w:r>
    </w:p>
    <w:p w14:paraId="226C3F53" w14:textId="4D1971DA"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A key concept in the supply-side literature is that of a political opportunity structure (Rydgren 2005, 2007; Tarrow 1995). In short, </w:t>
      </w:r>
      <w:proofErr w:type="gramStart"/>
      <w:r w:rsidRPr="00A9619E">
        <w:rPr>
          <w:rFonts w:ascii="Times New Roman" w:hAnsi="Times New Roman" w:cs="Times New Roman"/>
        </w:rPr>
        <w:t>in order for</w:t>
      </w:r>
      <w:proofErr w:type="gramEnd"/>
      <w:r w:rsidRPr="00A9619E">
        <w:rPr>
          <w:rFonts w:ascii="Times New Roman" w:hAnsi="Times New Roman" w:cs="Times New Roman"/>
        </w:rPr>
        <w:t xml:space="preserve"> new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16 (printed p. 9) --&gt; political entrepreneurs to succeed, </w:t>
      </w:r>
      <w:proofErr w:type="spellStart"/>
      <w:r w:rsidRPr="00A9619E">
        <w:rPr>
          <w:rFonts w:ascii="Times New Roman" w:hAnsi="Times New Roman" w:cs="Times New Roman"/>
        </w:rPr>
        <w:t>favourable</w:t>
      </w:r>
      <w:proofErr w:type="spellEnd"/>
      <w:r w:rsidRPr="00A9619E">
        <w:rPr>
          <w:rFonts w:ascii="Times New Roman" w:hAnsi="Times New Roman" w:cs="Times New Roman"/>
        </w:rPr>
        <w:t xml:space="preserve"> political opportunity structures need to exist. Of such opportunity structures, among the most important are niches left by the lack of supply from the existing parties, in response to demand from voters. In the discussion above, we mentioned the niche left by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working-class parties moving to a New Left direction in their political offer. This can mean these parties adopting an increasingly socio-cultural, identity-political focus and/or changing positions in socio-economic, distributive policies. These changes can occur in response to the growing relative size of the middle class among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electorates, or an ambition to increasingly reach out to this constituency. Yet, the result will be a niche established by the working-class voters being left with less representation. Arguably, this is a niche that the populist radical right-wing parties have succeeded </w:t>
      </w:r>
      <w:proofErr w:type="gramStart"/>
      <w:r w:rsidRPr="00A9619E">
        <w:rPr>
          <w:rFonts w:ascii="Times New Roman" w:hAnsi="Times New Roman" w:cs="Times New Roman"/>
        </w:rPr>
        <w:t>to</w:t>
      </w:r>
      <w:proofErr w:type="gramEnd"/>
      <w:r w:rsidRPr="00A9619E">
        <w:rPr>
          <w:rFonts w:ascii="Times New Roman" w:hAnsi="Times New Roman" w:cs="Times New Roman"/>
        </w:rPr>
        <w:t xml:space="preserve"> partly </w:t>
      </w:r>
      <w:proofErr w:type="gramStart"/>
      <w:r w:rsidRPr="00A9619E">
        <w:rPr>
          <w:rFonts w:ascii="Times New Roman" w:hAnsi="Times New Roman" w:cs="Times New Roman"/>
        </w:rPr>
        <w:t>fill</w:t>
      </w:r>
      <w:proofErr w:type="gramEnd"/>
      <w:r w:rsidRPr="00A9619E">
        <w:rPr>
          <w:rFonts w:ascii="Times New Roman" w:hAnsi="Times New Roman" w:cs="Times New Roman"/>
        </w:rPr>
        <w:t>.</w:t>
      </w:r>
    </w:p>
    <w:p w14:paraId="2548EE80" w14:textId="6431A7D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Against the </w:t>
      </w:r>
      <w:proofErr w:type="spellStart"/>
      <w:r w:rsidRPr="00A9619E">
        <w:rPr>
          <w:rFonts w:ascii="Times New Roman" w:hAnsi="Times New Roman" w:cs="Times New Roman"/>
        </w:rPr>
        <w:t>Downsian</w:t>
      </w:r>
      <w:proofErr w:type="spellEnd"/>
      <w:r w:rsidRPr="00A9619E">
        <w:rPr>
          <w:rFonts w:ascii="Times New Roman" w:hAnsi="Times New Roman" w:cs="Times New Roman"/>
        </w:rPr>
        <w:t xml:space="preserve"> spatial theory of party competition,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has invoked an issue ownership and valence competition model to explain, from a supply-side perspective, the politics of the radical right’s ascent. With valence competition, he refers to a situation where all parties agree on a common set of political </w:t>
      </w:r>
      <w:proofErr w:type="gramStart"/>
      <w:r w:rsidRPr="00A9619E">
        <w:rPr>
          <w:rFonts w:ascii="Times New Roman" w:hAnsi="Times New Roman" w:cs="Times New Roman"/>
        </w:rPr>
        <w:t>objectives, but</w:t>
      </w:r>
      <w:proofErr w:type="gramEnd"/>
      <w:r w:rsidRPr="00A9619E">
        <w:rPr>
          <w:rFonts w:ascii="Times New Roman" w:hAnsi="Times New Roman" w:cs="Times New Roman"/>
        </w:rPr>
        <w:t xml:space="preserve"> compete over “ownership” in the issue; in other words, over which party the voters consider best for delivering the desired policy. Characteristic for such valence competition is that parties will try to advocate the higher salience of issues where they are considered issue </w:t>
      </w:r>
      <w:proofErr w:type="gramStart"/>
      <w:r w:rsidRPr="00A9619E">
        <w:rPr>
          <w:rFonts w:ascii="Times New Roman" w:hAnsi="Times New Roman" w:cs="Times New Roman"/>
        </w:rPr>
        <w:t>owners, and</w:t>
      </w:r>
      <w:proofErr w:type="gramEnd"/>
      <w:r w:rsidRPr="00A9619E">
        <w:rPr>
          <w:rFonts w:ascii="Times New Roman" w:hAnsi="Times New Roman" w:cs="Times New Roman"/>
        </w:rPr>
        <w:t xml:space="preserve"> ignore or defuse the political debate from issues that are owned by competing parties. We expect this type of competition to be at the core of the relations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right-wing parties in our </w:t>
      </w:r>
      <w:proofErr w:type="gramStart"/>
      <w:r w:rsidRPr="00A9619E">
        <w:rPr>
          <w:rFonts w:ascii="Times New Roman" w:hAnsi="Times New Roman" w:cs="Times New Roman"/>
        </w:rPr>
        <w:t>country</w:t>
      </w:r>
      <w:proofErr w:type="gramEnd"/>
      <w:r w:rsidRPr="00A9619E">
        <w:rPr>
          <w:rFonts w:ascii="Times New Roman" w:hAnsi="Times New Roman" w:cs="Times New Roman"/>
        </w:rPr>
        <w:t xml:space="preserve"> case. More specifically, we expect these parties to compete, first, over the relative salience of the socio-economic and socio-cultural cleavage dimensions, and, second, over issue ownership along these dimensions.</w:t>
      </w:r>
    </w:p>
    <w:p w14:paraId="6564729B" w14:textId="6000AF4E"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Several scholars have pointed to the fact that while core groups of populist radical right-wing voters – workers, lower-middle-class voters (e.g. artisans and craftsmen), and other small business owners with relatively low levels of education (sometimes called the *petite bourgeoisie*) – differ in their preferences for economic policies, they tend to share preferences for cultural policies, encompassing issues such as nationality, migration, sexuality, and law and order, to a considerably higher degree (e.g. Afonso 2015;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As a result, these voting groups tend to support populist radical right-wing parties predominately when cultural preferences, in particular issues pertaining to national identity and immigration, are of high salience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2005; Spies 2013). When socio-economic preferences are of higher salience relative to socio-cultural preferences, and when the capacity of class organization is strong, working-class voters are more likely to support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while petit bourgeois voters are more likely to support a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party (Spies 2013). Given this, we expect the first instinct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to try to increase the salience of socio-economic at the expense of socio-cultural issues, because the former is where they have issue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17 (printed p. 10) --&gt; ownership. Yet, in case socio-cultural politics are highly salient,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will </w:t>
      </w:r>
      <w:r w:rsidRPr="00A9619E">
        <w:rPr>
          <w:rFonts w:ascii="Times New Roman" w:hAnsi="Times New Roman" w:cs="Times New Roman"/>
        </w:rPr>
        <w:lastRenderedPageBreak/>
        <w:t xml:space="preserve">also try to gain ownership in issues such as immigration or law and order. The reverse is true for the populist radical right: while the populist radical right benefits from the high salience of socio-cultural politics, they do actively compete with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also on socio-economic issues.</w:t>
      </w:r>
    </w:p>
    <w:p w14:paraId="2660B021" w14:textId="15523920"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Following the work of Bale et al. (2010) on, particularly, the responses of Social Democratic parties to the rise of the populist radical right, we may further form expectations of what forms such issue competition may take. According to Bale et al. (2010) the Social Democrats are likely to respond first by a *hold* strategy: holding on to their ideological beliefs and trying this way to win the argument. An example of *hold* would be the Social Democrats steadfastly defending internationalism and a relatively generous refugee politics against the anti-immigration views of the populist radical right. Second, the party can try to *defuse* the populist radical right’s preferred issues by simply not agreeing to take political positions on it. Resetting the political agenda with </w:t>
      </w:r>
      <w:proofErr w:type="gramStart"/>
      <w:r w:rsidRPr="00A9619E">
        <w:rPr>
          <w:rFonts w:ascii="Times New Roman" w:hAnsi="Times New Roman" w:cs="Times New Roman"/>
        </w:rPr>
        <w:t>defuse,</w:t>
      </w:r>
      <w:proofErr w:type="gramEnd"/>
      <w:r w:rsidRPr="00A9619E">
        <w:rPr>
          <w:rFonts w:ascii="Times New Roman" w:hAnsi="Times New Roman" w:cs="Times New Roman"/>
        </w:rPr>
        <w:t xml:space="preserve"> the mainstream party can try to increase the salience of its own preferred issues. Bale et al. (ibid) also observe that the defuse strategy could involve seeking a cross-party “pre-emptive consensus” on radical right </w:t>
      </w:r>
      <w:proofErr w:type="gramStart"/>
      <w:r w:rsidRPr="00A9619E">
        <w:rPr>
          <w:rFonts w:ascii="Times New Roman" w:hAnsi="Times New Roman" w:cs="Times New Roman"/>
        </w:rPr>
        <w:t>issues, and</w:t>
      </w:r>
      <w:proofErr w:type="gramEnd"/>
      <w:r w:rsidRPr="00A9619E">
        <w:rPr>
          <w:rFonts w:ascii="Times New Roman" w:hAnsi="Times New Roman" w:cs="Times New Roman"/>
        </w:rPr>
        <w:t xml:space="preserve"> hence silence any political debate on the subject. Third, the mainstream party can *adopt* the position of the competitor. This strategy is the </w:t>
      </w:r>
      <w:proofErr w:type="gramStart"/>
      <w:r w:rsidRPr="00A9619E">
        <w:rPr>
          <w:rFonts w:ascii="Times New Roman" w:hAnsi="Times New Roman" w:cs="Times New Roman"/>
        </w:rPr>
        <w:t>polar opposite</w:t>
      </w:r>
      <w:proofErr w:type="gramEnd"/>
      <w:r w:rsidRPr="00A9619E">
        <w:rPr>
          <w:rFonts w:ascii="Times New Roman" w:hAnsi="Times New Roman" w:cs="Times New Roman"/>
        </w:rPr>
        <w:t xml:space="preserve"> of the *hold* option, in that it requires the – in this case, Social Democratic – party giving up its ideological integrity for vote-seeking reasons. In the case of immigration, for example, the Social Democrats could try to “close down the issue space on authoritarian-liberal dimension by arguing that migration must be limited and multiculturalism tempered by an increased emphasis on what some call integration (...)” (ibid, 413). Bale et al. (ibid) try to predict a chronological sequence of the options available for the mainstream,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Given strong tradition of Social Democracy in many Western European political systems, they expect the Social Democrats to first try to *hold* on to their ideological beliefs and not “give up at the first hint of a challenge.” Yet, when the Social Democrats deem the populist radical right to have become a significant electoral challenge, they might try an alternative strategy, to *defuse* the competitors’ </w:t>
      </w:r>
      <w:proofErr w:type="spellStart"/>
      <w:r w:rsidRPr="00A9619E">
        <w:rPr>
          <w:rFonts w:ascii="Times New Roman" w:hAnsi="Times New Roman" w:cs="Times New Roman"/>
        </w:rPr>
        <w:t>favoured</w:t>
      </w:r>
      <w:proofErr w:type="spellEnd"/>
      <w:r w:rsidRPr="00A9619E">
        <w:rPr>
          <w:rFonts w:ascii="Times New Roman" w:hAnsi="Times New Roman" w:cs="Times New Roman"/>
        </w:rPr>
        <w:t xml:space="preserve"> issues. Only when the populist radical right is likely to contribute to the forming of </w:t>
      </w:r>
      <w:proofErr w:type="spellStart"/>
      <w:r w:rsidRPr="00A9619E">
        <w:rPr>
          <w:rFonts w:ascii="Times New Roman" w:hAnsi="Times New Roman" w:cs="Times New Roman"/>
        </w:rPr>
        <w:t>centre</w:t>
      </w:r>
      <w:proofErr w:type="spellEnd"/>
      <w:r w:rsidRPr="00A9619E">
        <w:rPr>
          <w:rFonts w:ascii="Times New Roman" w:hAnsi="Times New Roman" w:cs="Times New Roman"/>
        </w:rPr>
        <w:t>–right coalitions, however, would the Social Democrats be alarmed enough to consider *adopting* the competitor’s position.</w:t>
      </w:r>
    </w:p>
    <w:p w14:paraId="683DCA15" w14:textId="0E6648C9"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From these theoretical premises, we can derive the following expectations regarding the responses of the Social Democratic parties and trade union confederations to the populist radical right-wing parties in our country cases. First, given the relatively long history of populist radical right-wing party presence in Norway and Denmark, we do not expect a strategy of complete dismissal to be available for the Norwegian and Danish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movements. By contrast, we expect the socio-cultural axis of political competition to have long become a matter of normal politics in these countries, and we expect to find a “pre-emptive consensus” (Bale et al. 2010) on issues of immigration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18 (printed p. 11) --&gt; and national identity that has been established already before or in the beginning of our observation period. Hence, we expect valence competition between parties in the socio-cultural issue axis. In the face of electoral pressure and the possibility of populist radical right-wing party government participation, the </w:t>
      </w:r>
      <w:r w:rsidRPr="00A9619E">
        <w:rPr>
          <w:rFonts w:ascii="Times New Roman" w:hAnsi="Times New Roman" w:cs="Times New Roman"/>
        </w:rPr>
        <w:lastRenderedPageBreak/>
        <w:t>Social Democrats may also decide to *adopt* parts of the populist radical right’s political offer. In the socio-economic axis, we expect the Danish and Norwegian Social Democratic parties and trade unions to use the *defuse* strategy when advocating a higher salience of socio-economic, distributive politics. Whether this takes place, however, is likely to vary over time, depending on party strategy.</w:t>
      </w:r>
    </w:p>
    <w:p w14:paraId="001CDFDA" w14:textId="0502F76D"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Second, in Sweden and Finland, we know that the ascent of the populist radical right as a serious political adversary took place only in the late 2000s and early 2010s. Hence, in the beginning of our observation period – early to mid-2000s – we expect the Social Democrats and the trade unions to at least try to apply the strategy of dismissing the radical right. In the Swedish case, given the country’s strong tradition of class politics and the prevalence of the socio-economic left-right axis, we then expect the Social Democrats to try to both hold on to their ideological principles in both the socio-economic and socio-cultural dimensions, as well as to try to defuse the political debate such that the socio-economic dimension would retain its strong status. We expect Sweden to be the least likely case of the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 giving in and adopting the radical right’s programmatic offer, albeit towards the end of our observation period, when the Sweden Democrats’ support rose to a tie with the Social Democrats, the electoral pressure may have prompted the party to do so. Finland, on the other hand, is characterized by a more pragmatic political culture, where cross-class alliances in government are not unknown. We thus expect the Finnish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 to relatively early take issue with the populist radical right-wing Finns Party, and to show willingness to compromise on its own ideological positions </w:t>
      </w:r>
      <w:proofErr w:type="gramStart"/>
      <w:r w:rsidRPr="00A9619E">
        <w:rPr>
          <w:rFonts w:ascii="Times New Roman" w:hAnsi="Times New Roman" w:cs="Times New Roman"/>
        </w:rPr>
        <w:t>in order to</w:t>
      </w:r>
      <w:proofErr w:type="gramEnd"/>
      <w:r w:rsidRPr="00A9619E">
        <w:rPr>
          <w:rFonts w:ascii="Times New Roman" w:hAnsi="Times New Roman" w:cs="Times New Roman"/>
        </w:rPr>
        <w:t xml:space="preserve"> cooperate politically. Depending on leadership and strategic changes in the Social Democratic party, we expect to see variation between periods of the defuse and adopt strategies.</w:t>
      </w:r>
    </w:p>
    <w:p w14:paraId="6EC4583A" w14:textId="77777777" w:rsidR="00A9619E" w:rsidRPr="00A9619E" w:rsidRDefault="00A9619E" w:rsidP="00A9619E">
      <w:pPr>
        <w:rPr>
          <w:rFonts w:ascii="Times New Roman" w:hAnsi="Times New Roman" w:cs="Times New Roman"/>
        </w:rPr>
      </w:pPr>
      <w:r w:rsidRPr="00A9619E">
        <w:rPr>
          <w:rFonts w:ascii="Times New Roman" w:hAnsi="Times New Roman" w:cs="Times New Roman"/>
        </w:rPr>
        <w:t>We now move on to introduce and motivate our case selection, followed by a description of the methods and data used for this book.</w:t>
      </w:r>
    </w:p>
    <w:p w14:paraId="7D79A573" w14:textId="77777777" w:rsidR="00A9619E" w:rsidRPr="00A9619E" w:rsidRDefault="00A9619E" w:rsidP="00A9619E">
      <w:pPr>
        <w:rPr>
          <w:rFonts w:ascii="Times New Roman" w:hAnsi="Times New Roman" w:cs="Times New Roman"/>
        </w:rPr>
      </w:pPr>
    </w:p>
    <w:p w14:paraId="1D4B9CBC" w14:textId="5DDAD11C" w:rsidR="00A9619E" w:rsidRPr="00A9619E" w:rsidRDefault="00A9619E" w:rsidP="00A9619E">
      <w:pPr>
        <w:rPr>
          <w:rFonts w:ascii="Times New Roman" w:hAnsi="Times New Roman" w:cs="Times New Roman"/>
        </w:rPr>
      </w:pPr>
    </w:p>
    <w:p>
      <w:r>
        <w:br w:type="page"/>
      </w:r>
    </w:p>
    <w:p>
      <w:pPr>
        <w:spacing w:before="120" w:after="120"/>
        <w:jc w:val="center"/>
      </w:pPr>
      <w:r>
        <w:rPr>
          <w:rFonts w:ascii="Times New Roman" w:hAnsi="Times New Roman" w:cs="Times New Roman"/>
          <w:noProof/>
        </w:rPr>
        <w:drawing>
          <wp:inline distT="0" distB="0" distL="0" distR="0" wp14:anchorId="52296B40" wp14:editId="364CE851">
            <wp:extent cx="5486411" cy="3657607"/>
            <wp:effectExtent l="0" t="0" r="0" b="0"/>
            <wp:docPr id="12156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18477" name="Picture 1215618477"/>
                    <pic:cNvPicPr/>
                  </pic:nvPicPr>
                  <pic:blipFill>
                    <a:blip r:embed="rId4">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pPr>
        <w:jc w:val="center"/>
      </w:pPr>
      <w:r>
        <w:t>Figure 1</w:t>
      </w:r>
    </w:p>
    <w:p>
      <w:r>
        <w:br w:type="page"/>
      </w:r>
    </w:p>
    <w:p>
      <w:pPr>
        <w:spacing w:before="120" w:after="120"/>
        <w:jc w:val="center"/>
      </w:pPr>
      <w:r>
        <w:rPr>
          <w:rFonts w:ascii="Times New Roman" w:hAnsi="Times New Roman" w:cs="Times New Roman"/>
          <w:noProof/>
        </w:rPr>
        <w:lastRenderedPageBreak/>
        <w:drawing>
          <wp:inline distT="0" distB="0" distL="0" distR="0" wp14:anchorId="10CF4D33" wp14:editId="28AA3EB3">
            <wp:extent cx="4572009" cy="3657607"/>
            <wp:effectExtent l="0" t="0" r="0" b="0"/>
            <wp:docPr id="1968751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51484" name="Picture 1968751484"/>
                    <pic:cNvPicPr/>
                  </pic:nvPicPr>
                  <pic:blipFill>
                    <a:blip r:embed="rId5">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pPr>
        <w:jc w:val="center"/>
      </w:pPr>
      <w:r>
        <w:t>Figure 2</w:t>
      </w:r>
    </w:p>
    <w:p>
      <w:r>
        <w:br w:type="page"/>
      </w:r>
    </w:p>
    <w:p>
      <w:pPr>
        <w:spacing w:before="120" w:after="120"/>
        <w:jc w:val="center"/>
      </w:pPr>
      <w:r>
        <w:rPr>
          <w:rFonts w:ascii="Times New Roman" w:hAnsi="Times New Roman" w:cs="Times New Roman"/>
          <w:noProof/>
        </w:rPr>
        <w:lastRenderedPageBreak/>
        <w:drawing>
          <wp:inline distT="0" distB="0" distL="0" distR="0" wp14:anchorId="597E7A7C" wp14:editId="746E1C54">
            <wp:extent cx="5943600" cy="5200650"/>
            <wp:effectExtent l="0" t="0" r="0" b="0"/>
            <wp:docPr id="1420035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5689" name="Picture 14200356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pPr>
        <w:jc w:val="center"/>
      </w:pPr>
      <w:r>
        <w:t>Figure 3</w:t>
      </w:r>
    </w:p>
    <w:p>
      <w:r>
        <w:br w:type="page"/>
      </w:r>
    </w:p>
    <w:p>
      <w:pPr>
        <w:spacing w:before="120" w:after="120"/>
        <w:jc w:val="center"/>
      </w:pPr>
      <w:r>
        <w:rPr>
          <w:rFonts w:ascii="Times New Roman" w:hAnsi="Times New Roman" w:cs="Times New Roman"/>
          <w:noProof/>
        </w:rPr>
        <w:lastRenderedPageBreak/>
        <w:drawing>
          <wp:inline distT="0" distB="0" distL="0" distR="0" wp14:anchorId="3E2A6659" wp14:editId="64E65C41">
            <wp:extent cx="5925312" cy="7406640"/>
            <wp:effectExtent l="0" t="0" r="0" b="0"/>
            <wp:docPr id="1693996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96420" name="Picture 16939964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5312" cy="7406640"/>
                    </a:xfrm>
                    <a:prstGeom prst="rect">
                      <a:avLst/>
                    </a:prstGeom>
                  </pic:spPr>
                </pic:pic>
              </a:graphicData>
            </a:graphic>
          </wp:inline>
        </w:drawing>
      </w:r>
    </w:p>
    <w:p>
      <w:pPr>
        <w:jc w:val="center"/>
      </w:pPr>
      <w:r>
        <w:t>Figure 4</w:t>
      </w:r>
    </w:p>
    <w:p>
      <w:r>
        <w:br w:type="page"/>
      </w:r>
    </w:p>
    <w:p>
      <w:pPr>
        <w:spacing w:before="120" w:after="120"/>
        <w:jc w:val="center"/>
      </w:pPr>
      <w:r>
        <w:rPr>
          <w:rFonts w:ascii="Times New Roman" w:hAnsi="Times New Roman" w:cs="Times New Roman"/>
          <w:noProof/>
        </w:rPr>
        <w:drawing>
          <wp:inline distT="0" distB="0" distL="0" distR="0" wp14:anchorId="64C19C0E" wp14:editId="7A800CEB">
            <wp:extent cx="5943600" cy="2971800"/>
            <wp:effectExtent l="0" t="0" r="0" b="0"/>
            <wp:docPr id="1780721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21352" name="Picture 1780721352"/>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pPr>
        <w:jc w:val="center"/>
      </w:pPr>
      <w:r>
        <w:t>Figure 5</w:t>
      </w:r>
    </w:p>
    <w:sectPr w:rsidR="00A9619E" w:rsidRPr="00A96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19E"/>
    <w:rsid w:val="002C56F6"/>
    <w:rsid w:val="00A96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B27E"/>
  <w15:chartTrackingRefBased/>
  <w15:docId w15:val="{967FD4F1-1A7E-4FD7-B5D7-53DADB4D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19E"/>
    <w:rPr>
      <w:rFonts w:eastAsiaTheme="majorEastAsia" w:cstheme="majorBidi"/>
      <w:color w:val="272727" w:themeColor="text1" w:themeTint="D8"/>
    </w:rPr>
  </w:style>
  <w:style w:type="paragraph" w:styleId="Title">
    <w:name w:val="Title"/>
    <w:basedOn w:val="Normal"/>
    <w:next w:val="Normal"/>
    <w:link w:val="TitleChar"/>
    <w:uiPriority w:val="10"/>
    <w:qFormat/>
    <w:rsid w:val="00A96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19E"/>
    <w:pPr>
      <w:spacing w:before="160"/>
      <w:jc w:val="center"/>
    </w:pPr>
    <w:rPr>
      <w:i/>
      <w:iCs/>
      <w:color w:val="404040" w:themeColor="text1" w:themeTint="BF"/>
    </w:rPr>
  </w:style>
  <w:style w:type="character" w:customStyle="1" w:styleId="QuoteChar">
    <w:name w:val="Quote Char"/>
    <w:basedOn w:val="DefaultParagraphFont"/>
    <w:link w:val="Quote"/>
    <w:uiPriority w:val="29"/>
    <w:rsid w:val="00A9619E"/>
    <w:rPr>
      <w:i/>
      <w:iCs/>
      <w:color w:val="404040" w:themeColor="text1" w:themeTint="BF"/>
    </w:rPr>
  </w:style>
  <w:style w:type="paragraph" w:styleId="ListParagraph">
    <w:name w:val="List Paragraph"/>
    <w:basedOn w:val="Normal"/>
    <w:uiPriority w:val="34"/>
    <w:qFormat/>
    <w:rsid w:val="00A9619E"/>
    <w:pPr>
      <w:ind w:left="720"/>
      <w:contextualSpacing/>
    </w:pPr>
  </w:style>
  <w:style w:type="character" w:styleId="IntenseEmphasis">
    <w:name w:val="Intense Emphasis"/>
    <w:basedOn w:val="DefaultParagraphFont"/>
    <w:uiPriority w:val="21"/>
    <w:qFormat/>
    <w:rsid w:val="00A9619E"/>
    <w:rPr>
      <w:i/>
      <w:iCs/>
      <w:color w:val="0F4761" w:themeColor="accent1" w:themeShade="BF"/>
    </w:rPr>
  </w:style>
  <w:style w:type="paragraph" w:styleId="IntenseQuote">
    <w:name w:val="Intense Quote"/>
    <w:basedOn w:val="Normal"/>
    <w:next w:val="Normal"/>
    <w:link w:val="IntenseQuoteChar"/>
    <w:uiPriority w:val="30"/>
    <w:qFormat/>
    <w:rsid w:val="00A96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19E"/>
    <w:rPr>
      <w:i/>
      <w:iCs/>
      <w:color w:val="0F4761" w:themeColor="accent1" w:themeShade="BF"/>
    </w:rPr>
  </w:style>
  <w:style w:type="character" w:styleId="IntenseReference">
    <w:name w:val="Intense Reference"/>
    <w:basedOn w:val="DefaultParagraphFont"/>
    <w:uiPriority w:val="32"/>
    <w:qFormat/>
    <w:rsid w:val="00A96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5294</Words>
  <Characters>30178</Characters>
  <Application>Microsoft Office Word</Application>
  <DocSecurity>0</DocSecurity>
  <Lines>251</Lines>
  <Paragraphs>70</Paragraphs>
  <ScaleCrop>false</ScaleCrop>
  <Company/>
  <LinksUpToDate>false</LinksUpToDate>
  <CharactersWithSpaces>35402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Jingyao Xiang</dc:creator>
  <cp:keywords/>
  <dc:description/>
  <cp:lastModifiedBy>Jingyao Xiang</cp:lastModifiedBy>
  <cp:revision>1</cp:revision>
  <dcterms:created xsi:type="dcterms:W3CDTF">2026-10-27T02:12:00Z</dcterms:created>
  <dcterms:modified xsi:type="dcterms:W3CDTF">2026-10-27T02:14:00Z</dcterms:modified>
</cp:coreProperties>
</file>