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</w:pPr>
      <w:r>
        <w:rPr>
          <w:b/>
          <w:i/>
        </w:rPr>
        <w:t>Panel B</w:t>
      </w:r>
      <w:r>
        <w:t>. Variables in the models, all party-weeks</w:t>
      </w:r>
    </w:p>
    <w:tbl>
      <w:tblPr>
        <w:tblW w:w="9356" w:type="dxa"/>
        <w:jc w:val="center"/>
        <w:tblLayout w:type="fixed"/>
        <w:tblCellMar>
          <w:top w:w="0" w:type="dxa"/>
          <w:left w:w="72" w:type="dxa"/>
          <w:bottom w:w="0" w:type="dxa"/>
          <w:right w:w="72" w:type="dxa"/>
        </w:tblCellMar>
        <w:tblLook w:firstColumn="1" w:firstRow="1" w:lastColumn="0" w:lastRow="0" w:noHBand="0" w:noVBand="1" w:val="04A0"/>
      </w:tblPr>
      <w:tblGrid>
        <w:gridCol w:w="3709"/>
        <w:gridCol w:w="819"/>
        <w:gridCol w:w="985"/>
        <w:gridCol w:w="757"/>
        <w:gridCol w:w="719"/>
        <w:gridCol w:w="624"/>
        <w:gridCol w:w="924"/>
        <w:gridCol w:w="819"/>
      </w:tblGrid>
      <w:tr>
        <w:trPr>
          <w:cantSplit/>
          <w:tblHeader/>
        </w:trPr>
        <w:tc>
          <w:tcPr>
            <w:tcW w:type="dxa" w:w="3710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81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986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Missing, %</w:t>
            </w:r>
          </w:p>
        </w:tc>
        <w:tc>
          <w:tcPr>
            <w:tcW w:type="dxa" w:w="758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71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SD</w:t>
            </w:r>
          </w:p>
        </w:tc>
        <w:tc>
          <w:tcPr>
            <w:tcW w:type="dxa" w:w="62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Min</w:t>
            </w:r>
          </w:p>
        </w:tc>
        <w:tc>
          <w:tcPr>
            <w:tcW w:type="dxa" w:w="925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Median</w:t>
            </w:r>
          </w:p>
        </w:tc>
        <w:tc>
          <w:tcPr>
            <w:tcW w:type="dxa" w:w="819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>
            <w:pPr>
              <w:keepNext w:val="0"/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Max</w:t>
            </w: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40" w:after="2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</w:rPr>
              <w:t>Outcomes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Immigration share of releases, %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13,812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15.3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4.23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11.50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Law-and-crime share of releases, %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13,812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15.3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7.97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14.17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Releases per party-week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10.68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13.73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153</w:t>
            </w:r>
          </w:p>
        </w:tc>
      </w:tr>
      <w:tr>
        <w:trPr>
          <w:cantSplit/>
          <w:trHeight w:val="160" w:hRule="exact"/>
        </w:trPr>
        <w:tc>
          <w:tcPr>
            <w:tcW w:type="dxa" w:w="9360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40" w:after="2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</w:rPr>
              <w:t>Treatment (own-party events excluded)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Protest week, all immigration events (0/1)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0.15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0.36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Protest week, demonstrative events (0/1)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0.11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0.31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Protest week, confrontational or violent events (0/1)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0.08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0.27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Events, weeks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1.85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Demonstrative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1.08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3.06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Events, weeks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+1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+6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1.86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4.97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 xml:space="preserve">Demonstrative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+1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+6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1.08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3.06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log(</w:t>
            </w:r>
            <w:r>
              <w:rPr>
                <w:rFonts w:ascii="Times New Roman" w:hAnsi="Times New Roman"/>
                <w:b w:val="0"/>
                <w:sz w:val="20"/>
              </w:rPr>
              <w:t xml:space="preserve">1 + events,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 xml:space="preserve">−6 to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/>
                <w:b w:val="0"/>
                <w:sz w:val="20"/>
              </w:rPr>
              <w:t>−1)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0.55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0.81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4.11</w:t>
            </w:r>
          </w:p>
        </w:tc>
      </w:tr>
      <w:tr>
        <w:trPr>
          <w:cantSplit/>
          <w:trHeight w:val="160" w:hRule="exact"/>
        </w:trPr>
        <w:tc>
          <w:tcPr>
            <w:tcW w:type="dxa" w:w="9360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40" w:after="20" w:line="240" w:lineRule="auto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</w:rPr>
              <w:t>Covariates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Government party (0/1)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0.28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0.45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Asylum applications per 100,000 (previous month)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19.77</w:t>
            </w:r>
          </w:p>
        </w:tc>
        <w:tc>
          <w:tcPr>
            <w:tcW w:type="dxa" w:w="7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32.77</w:t>
            </w:r>
          </w:p>
        </w:tc>
        <w:tc>
          <w:tcPr>
            <w:tcW w:type="dxa" w:w="6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0.16</w:t>
            </w:r>
          </w:p>
        </w:tc>
        <w:tc>
          <w:tcPr>
            <w:tcW w:type="dxa" w:w="92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11.85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400.67</w:t>
            </w:r>
          </w:p>
        </w:tc>
      </w:tr>
      <w:tr>
        <w:trPr>
          <w:cantSplit/>
        </w:trPr>
        <w:tc>
          <w:tcPr>
            <w:tcW w:type="dxa" w:w="3710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ind w:left="216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Radical-right party (0/1)</w:t>
            </w:r>
          </w:p>
        </w:tc>
        <w:tc>
          <w:tcPr>
            <w:tcW w:type="dxa" w:w="81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16,315</w:t>
            </w:r>
          </w:p>
        </w:tc>
        <w:tc>
          <w:tcPr>
            <w:tcW w:type="dxa" w:w="986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758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0.16</w:t>
            </w:r>
          </w:p>
        </w:tc>
        <w:tc>
          <w:tcPr>
            <w:tcW w:type="dxa" w:w="71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0.37</w:t>
            </w:r>
          </w:p>
        </w:tc>
        <w:tc>
          <w:tcPr>
            <w:tcW w:type="dxa" w:w="62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925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819"/>
            <w:tcBorders>
              <w:top w:val="nil"/>
              <w:left w:val="nil"/>
              <w:bottom w:val="single" w:sz="18" w:space="0" w:color="000000"/>
              <w:right w:val="nil"/>
            </w:tcBorders>
            <w:vAlign w:val="top"/>
          </w:tcPr>
          <w:p>
            <w:pPr>
              <w:keepNext w:val="0"/>
              <w:spacing w:before="40" w:after="8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