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A7" w:rsidRPr="006B23B0" w:rsidRDefault="008D6CA7" w:rsidP="008D6CA7">
      <w:pPr>
        <w:pStyle w:val="Heading2"/>
      </w:pPr>
      <w:r>
        <w:t>Supplementary Methods</w:t>
      </w:r>
    </w:p>
    <w:p w:rsidR="008D6CA7" w:rsidRDefault="008D6CA7" w:rsidP="008D6CA7">
      <w:pPr>
        <w:pStyle w:val="Heading3"/>
      </w:pPr>
      <w:r>
        <w:t>Convection, Diffusion, Pore Theory</w:t>
      </w:r>
    </w:p>
    <w:p w:rsidR="008D6CA7" w:rsidRDefault="008D6CA7" w:rsidP="008D6CA7">
      <w:r>
        <w:t xml:space="preserve">Diffusion and blood flow are </w:t>
      </w:r>
      <w:r w:rsidRPr="00024D4B">
        <w:t xml:space="preserve">modelled </w:t>
      </w:r>
      <w:r>
        <w:t xml:space="preserve">by discretizing the sinusoid and Disse space in small volumes with the transport between neighbouring volumes governed by </w:t>
      </w:r>
      <w:r w:rsidRPr="00024D4B">
        <w:t>one-dimensional diffusion</w:t>
      </w:r>
      <w:r>
        <w:t xml:space="preserve"> and convection</w:t>
      </w:r>
      <w:r w:rsidRPr="00024D4B">
        <w:t xml:space="preserve"> equations</w:t>
      </w:r>
      <w:r>
        <w:t xml:space="preserve"> (analogue to </w:t>
      </w:r>
      <w:r>
        <w:fldChar w:fldCharType="begin"/>
      </w:r>
      <w:r>
        <w:instrText xml:space="preserve"> ADDIN EN.CITE &lt;EndNote&gt;&lt;Cite&gt;&lt;Author&gt;Konig&lt;/Author&gt;&lt;Year&gt;2013&lt;/Year&gt;&lt;RecNum&gt;111&lt;/RecNum&gt;&lt;DisplayText&gt;(Konig, et al., 2013)&lt;/DisplayText&gt;&lt;record&gt;&lt;rec-number&gt;111&lt;/rec-number&gt;&lt;foreign-keys&gt;&lt;key app="EN" db-id="ap95xdv5n5e2seedasv5e5xge5xs9vfdfxpz"&gt;111&lt;/key&gt;&lt;/foreign-keys&gt;&lt;ref-type name="Journal Article"&gt;17&lt;/ref-type&gt;&lt;contributors&gt;&lt;authors&gt;&lt;author&gt;Konig, M.&lt;/author&gt;&lt;author&gt;Holzhutter, H. G.&lt;/author&gt;&lt;author&gt;Berndt, N.&lt;/author&gt;&lt;/authors&gt;&lt;/contributors&gt;&lt;auth-address&gt;Institute of Biochemistry, University Medicine Charite Berlin, Berlin, Germany. matthias.koenig@charite.de.&lt;/auth-address&gt;&lt;titles&gt;&lt;title&gt;Metabolic gradients as key regulators in zonation of tumor energy metabolism: A tissue-scale model-based study&lt;/title&gt;&lt;secondary-title&gt;Biotechnol J&lt;/secondary-title&gt;&lt;alt-title&gt;Biotechnology journal&lt;/alt-title&gt;&lt;/titles&gt;&lt;periodical&gt;&lt;full-title&gt;Biotechnol J&lt;/full-title&gt;&lt;abbr-1&gt;Biotechnology journal&lt;/abbr-1&gt;&lt;/periodical&gt;&lt;alt-periodical&gt;&lt;full-title&gt;Biotechnol J&lt;/full-title&gt;&lt;abbr-1&gt;Biotechnology journal&lt;/abbr-1&gt;&lt;/alt-periodical&gt;&lt;pages&gt;1058-69&lt;/pages&gt;&lt;volume&gt;8&lt;/volume&gt;&lt;number&gt;9&lt;/number&gt;&lt;edition&gt;2013/04/17&lt;/edition&gt;&lt;dates&gt;&lt;year&gt;2013&lt;/year&gt;&lt;pub-dates&gt;&lt;date&gt;Sep&lt;/date&gt;&lt;/pub-dates&gt;&lt;/dates&gt;&lt;isbn&gt;1860-7314 (Electronic)&amp;#xD;1860-6768 (Linking)&lt;/isbn&gt;&lt;accession-num&gt;23589477&lt;/accession-num&gt;&lt;urls&gt;&lt;related-urls&gt;&lt;url&gt;http://www.ncbi.nlm.nih.gov/pubmed/23589477&lt;/url&gt;&lt;/related-urls&gt;&lt;/urls&gt;&lt;electronic-resource-num&gt;10.1002/biot.201200393&lt;/electronic-resource-num&gt;&lt;language&gt;eng&lt;/languag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Konig, 2013 #111" w:history="1">
        <w:r w:rsidR="00DA4964">
          <w:rPr>
            <w:noProof/>
          </w:rPr>
          <w:t>Konig, et al., 2013</w:t>
        </w:r>
      </w:hyperlink>
      <w:r>
        <w:rPr>
          <w:noProof/>
        </w:rPr>
        <w:t>)</w:t>
      </w:r>
      <w:r>
        <w:fldChar w:fldCharType="end"/>
      </w:r>
      <w:r>
        <w:t xml:space="preserve">). The </w:t>
      </w:r>
      <w:proofErr w:type="spellStart"/>
      <w:r>
        <w:t>periportal</w:t>
      </w:r>
      <w:proofErr w:type="spellEnd"/>
      <w:r>
        <w:t xml:space="preserve"> (</w:t>
      </w:r>
      <w:proofErr w:type="spellStart"/>
      <w:r>
        <w:t>pp</w:t>
      </w:r>
      <w:proofErr w:type="spellEnd"/>
      <w:r>
        <w:t xml:space="preserve">) and </w:t>
      </w:r>
      <w:proofErr w:type="spellStart"/>
      <w:r>
        <w:t>perivenous</w:t>
      </w:r>
      <w:proofErr w:type="spellEnd"/>
      <w:r>
        <w:t xml:space="preserve"> (</w:t>
      </w:r>
      <w:proofErr w:type="spellStart"/>
      <w:proofErr w:type="gramStart"/>
      <w:r>
        <w:t>pv</w:t>
      </w:r>
      <w:proofErr w:type="spellEnd"/>
      <w:proofErr w:type="gramEnd"/>
      <w:r>
        <w:t>) blood compartment are located adjacent to the first and last sinusoidal volume, respectively. A single sinusoidal unit</w:t>
      </w:r>
      <w:r w:rsidRPr="00024D4B">
        <w:t xml:space="preserve"> consists of </w:t>
      </w:r>
      <w:r w:rsidRPr="009E7A76">
        <w:rPr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4" o:title=""/>
          </v:shape>
          <o:OLEObject Type="Embed" ProgID="Equation.3" ShapeID="_x0000_i1025" DrawAspect="Content" ObjectID="_1510393263" r:id="rId5"/>
        </w:object>
      </w:r>
      <w:r w:rsidRPr="00024D4B">
        <w:fldChar w:fldCharType="begin"/>
      </w:r>
      <w:r w:rsidRPr="00024D4B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24D4B">
        <w:instrText xml:space="preserve"> </w:instrText>
      </w:r>
      <w:r w:rsidRPr="00024D4B">
        <w:fldChar w:fldCharType="separate"/>
      </w:r>
      <w:r w:rsidRPr="00024D4B">
        <w:fldChar w:fldCharType="end"/>
      </w:r>
      <w:r w:rsidRPr="00024D4B">
        <w:t xml:space="preserve"> </w:t>
      </w:r>
      <w:r>
        <w:t xml:space="preserve">hepatocytes </w:t>
      </w:r>
      <w:r w:rsidRPr="00024D4B">
        <w:t xml:space="preserve">with each cell having </w:t>
      </w:r>
      <w:r>
        <w:t>a single</w:t>
      </w:r>
      <w:r w:rsidRPr="00024D4B">
        <w:t xml:space="preserve"> associated </w:t>
      </w:r>
      <w:r>
        <w:t>sinusoid and Disse</w:t>
      </w:r>
      <w:r w:rsidRPr="00024D4B">
        <w:t xml:space="preserve"> </w:t>
      </w:r>
      <w:r>
        <w:t>volume (</w:t>
      </w:r>
      <w:r w:rsidRPr="00F17080">
        <w:rPr>
          <w:position w:val="-12"/>
        </w:rPr>
        <w:object w:dxaOrig="1600" w:dyaOrig="360">
          <v:shape id="_x0000_i1026" type="#_x0000_t75" style="width:80.25pt;height:18pt" o:ole="">
            <v:imagedata r:id="rId6" o:title=""/>
          </v:shape>
          <o:OLEObject Type="Embed" ProgID="Equation.3" ShapeID="_x0000_i1026" DrawAspect="Content" ObjectID="_1510393264" r:id="rId7"/>
        </w:object>
      </w:r>
      <w:r w:rsidRPr="00024D4B">
        <w:fldChar w:fldCharType="begin"/>
      </w:r>
      <w:r w:rsidRPr="00024D4B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ext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024D4B">
        <w:instrText xml:space="preserve"> </w:instrText>
      </w:r>
      <w:r w:rsidRPr="00024D4B">
        <w:fldChar w:fldCharType="separate"/>
      </w:r>
      <w:r w:rsidRPr="00024D4B">
        <w:fldChar w:fldCharType="end"/>
      </w:r>
      <w:r>
        <w:t xml:space="preserve">). Concentrations of the modelled compounds </w:t>
      </w:r>
      <w:r w:rsidRPr="00A3204C">
        <w:rPr>
          <w:position w:val="-10"/>
        </w:rPr>
        <w:object w:dxaOrig="2960" w:dyaOrig="340">
          <v:shape id="_x0000_i1027" type="#_x0000_t75" style="width:147.75pt;height:17.25pt" o:ole="">
            <v:imagedata r:id="rId8" o:title=""/>
          </v:shape>
          <o:OLEObject Type="Embed" ProgID="Equation.3" ShapeID="_x0000_i1027" DrawAspect="Content" ObjectID="_1510393265" r:id="rId9"/>
        </w:object>
      </w:r>
      <w:r>
        <w:t xml:space="preserve"> in </w:t>
      </w:r>
      <w:proofErr w:type="spellStart"/>
      <w:r>
        <w:t>pp</w:t>
      </w:r>
      <w:proofErr w:type="spellEnd"/>
      <w:r>
        <w:t xml:space="preserve"> and </w:t>
      </w:r>
      <w:proofErr w:type="spellStart"/>
      <w:r>
        <w:t>pv</w:t>
      </w:r>
      <w:proofErr w:type="spellEnd"/>
      <w:r>
        <w:t xml:space="preserve"> are denoted </w:t>
      </w:r>
      <w:r w:rsidRPr="007B058F">
        <w:rPr>
          <w:position w:val="-14"/>
        </w:rPr>
        <w:object w:dxaOrig="480" w:dyaOrig="380">
          <v:shape id="_x0000_i1028" type="#_x0000_t75" style="width:24pt;height:18.75pt" o:ole="">
            <v:imagedata r:id="rId10" o:title=""/>
          </v:shape>
          <o:OLEObject Type="Embed" ProgID="Equation.3" ShapeID="_x0000_i1028" DrawAspect="Content" ObjectID="_1510393266" r:id="rId11"/>
        </w:object>
      </w:r>
      <w:r w:rsidRPr="00024D4B">
        <w:t xml:space="preserve"> </w:t>
      </w:r>
      <w:proofErr w:type="gramStart"/>
      <w:r>
        <w:t xml:space="preserve">and </w:t>
      </w:r>
      <w:proofErr w:type="gramEnd"/>
      <w:r w:rsidRPr="00234D82">
        <w:rPr>
          <w:position w:val="-14"/>
          <w:sz w:val="22"/>
        </w:rPr>
        <w:object w:dxaOrig="460" w:dyaOrig="380">
          <v:shape id="_x0000_i1029" type="#_x0000_t75" style="width:23.25pt;height:18.75pt" o:ole="">
            <v:imagedata r:id="rId12" o:title=""/>
          </v:shape>
          <o:OLEObject Type="Embed" ProgID="Equation.3" ShapeID="_x0000_i1029" DrawAspect="Content" ObjectID="_1510393267" r:id="rId13"/>
        </w:object>
      </w:r>
      <w:r>
        <w:rPr>
          <w:sz w:val="22"/>
        </w:rPr>
        <w:t xml:space="preserve">, </w:t>
      </w:r>
      <w:r>
        <w:t>the</w:t>
      </w:r>
      <w:r w:rsidRPr="00024D4B">
        <w:t xml:space="preserve"> concentration</w:t>
      </w:r>
      <w:r>
        <w:t>s</w:t>
      </w:r>
      <w:r w:rsidRPr="00024D4B">
        <w:t xml:space="preserve"> in </w:t>
      </w:r>
      <w:r>
        <w:t>the sinusoidal and Disse space</w:t>
      </w:r>
      <w:r w:rsidRPr="00024D4B">
        <w:t xml:space="preserve"> </w:t>
      </w:r>
      <w:r w:rsidRPr="00DC78C3">
        <w:rPr>
          <w:position w:val="-12"/>
        </w:rPr>
        <w:object w:dxaOrig="480" w:dyaOrig="380">
          <v:shape id="_x0000_i1030" type="#_x0000_t75" style="width:24pt;height:18.75pt" o:ole="">
            <v:imagedata r:id="rId14" o:title=""/>
          </v:shape>
          <o:OLEObject Type="Embed" ProgID="Equation.3" ShapeID="_x0000_i1030" DrawAspect="Content" ObjectID="_1510393268" r:id="rId15"/>
        </w:object>
      </w:r>
      <w:r>
        <w:t xml:space="preserve"> and</w:t>
      </w:r>
      <w:r w:rsidRPr="00234D82">
        <w:rPr>
          <w:position w:val="-12"/>
        </w:rPr>
        <w:object w:dxaOrig="480" w:dyaOrig="380">
          <v:shape id="_x0000_i1031" type="#_x0000_t75" style="width:24pt;height:18.75pt" o:ole="">
            <v:imagedata r:id="rId16" o:title=""/>
          </v:shape>
          <o:OLEObject Type="Embed" ProgID="Equation.3" ShapeID="_x0000_i1031" DrawAspect="Content" ObjectID="_1510393269" r:id="rId17"/>
        </w:object>
      </w:r>
      <w:r>
        <w:t xml:space="preserve"> (</w:t>
      </w:r>
      <w:r w:rsidRPr="004A713F">
        <w:rPr>
          <w:position w:val="-12"/>
        </w:rPr>
        <w:object w:dxaOrig="1100" w:dyaOrig="360">
          <v:shape id="_x0000_i1032" type="#_x0000_t75" style="width:54.75pt;height:18pt" o:ole="">
            <v:imagedata r:id="rId18" o:title=""/>
          </v:shape>
          <o:OLEObject Type="Embed" ProgID="Equation.3" ShapeID="_x0000_i1032" DrawAspect="Content" ObjectID="_1510393270" r:id="rId19"/>
        </w:object>
      </w:r>
      <w:r>
        <w:t xml:space="preserve">). The diffusion coefficients are denoted </w:t>
      </w:r>
      <w:r w:rsidRPr="005D64A3">
        <w:rPr>
          <w:position w:val="-12"/>
        </w:rPr>
        <w:object w:dxaOrig="1040" w:dyaOrig="380">
          <v:shape id="_x0000_i1033" type="#_x0000_t75" style="width:51.75pt;height:18.75pt" o:ole="">
            <v:imagedata r:id="rId20" o:title=""/>
          </v:shape>
          <o:OLEObject Type="Embed" ProgID="Equation.3" ShapeID="_x0000_i1033" DrawAspect="Content" ObjectID="_1510393271" r:id="rId21"/>
        </w:object>
      </w:r>
      <w:r>
        <w:t xml:space="preserve">within the sinusoid and space of Disse and </w:t>
      </w:r>
      <w:r w:rsidRPr="005D64A3">
        <w:rPr>
          <w:position w:val="-12"/>
        </w:rPr>
        <w:object w:dxaOrig="620" w:dyaOrig="380">
          <v:shape id="_x0000_i1034" type="#_x0000_t75" style="width:30.75pt;height:18.75pt" o:ole="">
            <v:imagedata r:id="rId22" o:title=""/>
          </v:shape>
          <o:OLEObject Type="Embed" ProgID="Equation.3" ShapeID="_x0000_i1034" DrawAspect="Content" ObjectID="_1510393272" r:id="rId23"/>
        </w:object>
      </w:r>
      <w:r>
        <w:t>between sinusoid and space of Disse (</w:t>
      </w:r>
      <w:r>
        <w:rPr>
          <w:highlight w:val="lightGray"/>
        </w:rPr>
        <w:t>Supplementary T</w:t>
      </w:r>
      <w:r w:rsidRPr="00AE6B56">
        <w:rPr>
          <w:highlight w:val="lightGray"/>
        </w:rPr>
        <w:t>able </w:t>
      </w:r>
      <w:r>
        <w:rPr>
          <w:highlight w:val="lightGray"/>
        </w:rPr>
        <w:t>5</w:t>
      </w:r>
      <w:r>
        <w:t xml:space="preserve">). With the sinusoidal blood flow velocity </w:t>
      </w:r>
      <w:r w:rsidRPr="005D64A3">
        <w:rPr>
          <w:position w:val="-12"/>
        </w:rPr>
        <w:object w:dxaOrig="520" w:dyaOrig="360">
          <v:shape id="_x0000_i1035" type="#_x0000_t75" style="width:26.25pt;height:18pt" o:ole="">
            <v:imagedata r:id="rId24" o:title=""/>
          </v:shape>
          <o:OLEObject Type="Embed" ProgID="Equation.3" ShapeID="_x0000_i1035" DrawAspect="Content" ObjectID="_1510393273" r:id="rId25"/>
        </w:object>
      </w:r>
      <w:r>
        <w:t>,</w:t>
      </w:r>
      <w:r w:rsidRPr="00744694">
        <w:t xml:space="preserve"> </w:t>
      </w:r>
      <w:r>
        <w:t>the sinusoidal radius</w:t>
      </w:r>
      <w:r w:rsidRPr="001E4AC1">
        <w:rPr>
          <w:position w:val="-12"/>
        </w:rPr>
        <w:object w:dxaOrig="380" w:dyaOrig="360">
          <v:shape id="_x0000_i1036" type="#_x0000_t75" style="width:18.75pt;height:18pt" o:ole="">
            <v:imagedata r:id="rId26" o:title=""/>
          </v:shape>
          <o:OLEObject Type="Embed" ProgID="Equation.3" ShapeID="_x0000_i1036" DrawAspect="Content" ObjectID="_1510393274" r:id="rId27"/>
        </w:object>
      </w:r>
      <w:r>
        <w:t xml:space="preserve">, the width of space of Disse </w:t>
      </w:r>
      <w:r w:rsidRPr="001E4AC1">
        <w:rPr>
          <w:position w:val="-12"/>
        </w:rPr>
        <w:object w:dxaOrig="380" w:dyaOrig="360">
          <v:shape id="_x0000_i1037" type="#_x0000_t75" style="width:18.75pt;height:18pt" o:ole="">
            <v:imagedata r:id="rId28" o:title=""/>
          </v:shape>
          <o:OLEObject Type="Embed" ProgID="Equation.3" ShapeID="_x0000_i1037" DrawAspect="Content" ObjectID="_1510393275" r:id="rId29"/>
        </w:object>
      </w:r>
      <w:r>
        <w:t xml:space="preserve"> and the discretization along the sinusoidal axis </w:t>
      </w:r>
      <w:r w:rsidRPr="0070312E">
        <w:rPr>
          <w:position w:val="-12"/>
        </w:rPr>
        <w:object w:dxaOrig="380" w:dyaOrig="360">
          <v:shape id="_x0000_i1038" type="#_x0000_t75" style="width:18.75pt;height:18pt" o:ole="">
            <v:imagedata r:id="rId30" o:title=""/>
          </v:shape>
          <o:OLEObject Type="Embed" ProgID="Equation.3" ShapeID="_x0000_i1038" DrawAspect="Content" ObjectID="_1510393276" r:id="rId31"/>
        </w:object>
      </w:r>
      <w:r>
        <w:t xml:space="preserve">and the exchange areas </w:t>
      </w:r>
      <w:r w:rsidRPr="001E4AC1">
        <w:rPr>
          <w:position w:val="-12"/>
        </w:rPr>
        <w:object w:dxaOrig="400" w:dyaOrig="360">
          <v:shape id="_x0000_i1039" type="#_x0000_t75" style="width:20.25pt;height:18pt" o:ole="">
            <v:imagedata r:id="rId32" o:title=""/>
          </v:shape>
          <o:OLEObject Type="Embed" ProgID="Equation.3" ShapeID="_x0000_i1039" DrawAspect="Content" ObjectID="_1510393277" r:id="rId33"/>
        </w:object>
      </w:r>
      <w:r>
        <w:t xml:space="preserve">between adjacent space sinusoidal volumes, </w:t>
      </w:r>
      <w:r w:rsidRPr="001E4AC1">
        <w:rPr>
          <w:position w:val="-12"/>
        </w:rPr>
        <w:object w:dxaOrig="400" w:dyaOrig="360">
          <v:shape id="_x0000_i1040" type="#_x0000_t75" style="width:20.25pt;height:18pt" o:ole="">
            <v:imagedata r:id="rId34" o:title=""/>
          </v:shape>
          <o:OLEObject Type="Embed" ProgID="Equation.3" ShapeID="_x0000_i1040" DrawAspect="Content" ObjectID="_1510393278" r:id="rId35"/>
        </w:object>
      </w:r>
      <w:r>
        <w:t>between adjacent space of Disse volumes</w:t>
      </w:r>
      <w:r w:rsidRPr="001E4AC1">
        <w:rPr>
          <w:position w:val="-12"/>
        </w:rPr>
        <w:object w:dxaOrig="400" w:dyaOrig="360">
          <v:shape id="_x0000_i1041" type="#_x0000_t75" style="width:20.25pt;height:18pt" o:ole="">
            <v:imagedata r:id="rId34" o:title=""/>
          </v:shape>
          <o:OLEObject Type="Embed" ProgID="Equation.3" ShapeID="_x0000_i1041" DrawAspect="Content" ObjectID="_1510393279" r:id="rId36"/>
        </w:object>
      </w:r>
      <w:r>
        <w:t xml:space="preserve"> and </w:t>
      </w:r>
      <w:r w:rsidRPr="001E4AC1">
        <w:rPr>
          <w:position w:val="-12"/>
        </w:rPr>
        <w:object w:dxaOrig="580" w:dyaOrig="360">
          <v:shape id="_x0000_i1042" type="#_x0000_t75" style="width:29.25pt;height:18pt" o:ole="">
            <v:imagedata r:id="rId37" o:title=""/>
          </v:shape>
          <o:OLEObject Type="Embed" ProgID="Equation.3" ShapeID="_x0000_i1042" DrawAspect="Content" ObjectID="_1510393280" r:id="rId38"/>
        </w:object>
      </w:r>
      <w:r>
        <w:t xml:space="preserve"> between adjacent sinusoid and space of Disse volumes, the rates of transport are given by</w:t>
      </w:r>
    </w:p>
    <w:p w:rsidR="008D6CA7" w:rsidRDefault="008D6CA7" w:rsidP="008D6CA7">
      <w:pPr>
        <w:pStyle w:val="Heading4"/>
      </w:pPr>
      <w:r>
        <w:t>Blood flow in sinusoid (</w:t>
      </w:r>
      <w:r w:rsidRPr="00D234C8">
        <w:rPr>
          <w:position w:val="-28"/>
        </w:rPr>
        <w:object w:dxaOrig="780" w:dyaOrig="680">
          <v:shape id="_x0000_i1043" type="#_x0000_t75" style="width:39pt;height:33.75pt" o:ole="">
            <v:imagedata r:id="rId39" o:title=""/>
          </v:shape>
          <o:OLEObject Type="Embed" ProgID="Equation.3" ShapeID="_x0000_i1043" DrawAspect="Content" ObjectID="_1510393281" r:id="rId40"/>
        </w:object>
      </w:r>
      <w:r>
        <w:t>)</w:t>
      </w:r>
    </w:p>
    <w:p w:rsidR="008D6CA7" w:rsidRDefault="008D6CA7" w:rsidP="008D6CA7">
      <w:pPr>
        <w:pStyle w:val="BodyText"/>
        <w:rPr>
          <w:sz w:val="20"/>
        </w:rPr>
      </w:pPr>
      <w:r w:rsidRPr="00A3204C">
        <w:rPr>
          <w:position w:val="-14"/>
          <w:sz w:val="18"/>
        </w:rPr>
        <w:object w:dxaOrig="2180" w:dyaOrig="400">
          <v:shape id="_x0000_i1044" type="#_x0000_t75" style="width:108.75pt;height:20.25pt" o:ole="">
            <v:imagedata r:id="rId41" o:title=""/>
          </v:shape>
          <o:OLEObject Type="Embed" ProgID="Equation.3" ShapeID="_x0000_i1044" DrawAspect="Content" ObjectID="_1510393282" r:id="rId42"/>
        </w:object>
      </w:r>
      <w:r>
        <w:rPr>
          <w:sz w:val="20"/>
        </w:rPr>
        <w:tab/>
      </w:r>
      <w:r w:rsidRPr="00161883">
        <w:rPr>
          <w:position w:val="-14"/>
        </w:rPr>
        <w:object w:dxaOrig="1120" w:dyaOrig="400">
          <v:shape id="_x0000_i1045" type="#_x0000_t75" style="width:56.25pt;height:20.25pt" o:ole="">
            <v:imagedata r:id="rId43" o:title=""/>
          </v:shape>
          <o:OLEObject Type="Embed" ProgID="Equation.3" ShapeID="_x0000_i1045" DrawAspect="Content" ObjectID="_1510393283" r:id="rId44"/>
        </w:object>
      </w:r>
    </w:p>
    <w:p w:rsidR="008D6CA7" w:rsidRDefault="008D6CA7" w:rsidP="008D6CA7">
      <w:pPr>
        <w:pStyle w:val="BodyText"/>
      </w:pPr>
      <w:r w:rsidRPr="00A3204C">
        <w:rPr>
          <w:position w:val="-14"/>
          <w:sz w:val="20"/>
        </w:rPr>
        <w:object w:dxaOrig="2120" w:dyaOrig="400">
          <v:shape id="_x0000_i1046" type="#_x0000_t75" style="width:105.75pt;height:20.25pt" o:ole="">
            <v:imagedata r:id="rId45" o:title=""/>
          </v:shape>
          <o:OLEObject Type="Embed" ProgID="Equation.3" ShapeID="_x0000_i1046" DrawAspect="Content" ObjectID="_1510393284" r:id="rId46"/>
        </w:object>
      </w:r>
      <w:r>
        <w:rPr>
          <w:sz w:val="20"/>
        </w:rPr>
        <w:tab/>
      </w:r>
      <w:r>
        <w:rPr>
          <w:sz w:val="20"/>
        </w:rPr>
        <w:tab/>
      </w:r>
      <w:r w:rsidRPr="00BF514C">
        <w:rPr>
          <w:position w:val="-12"/>
        </w:rPr>
        <w:object w:dxaOrig="1200" w:dyaOrig="380">
          <v:shape id="_x0000_i1047" type="#_x0000_t75" style="width:60pt;height:18.75pt" o:ole="">
            <v:imagedata r:id="rId47" o:title=""/>
          </v:shape>
          <o:OLEObject Type="Embed" ProgID="Equation.3" ShapeID="_x0000_i1047" DrawAspect="Content" ObjectID="_1510393285" r:id="rId48"/>
        </w:object>
      </w:r>
      <w:r>
        <w:rPr>
          <w:sz w:val="20"/>
        </w:rPr>
        <w:tab/>
      </w:r>
      <w:r w:rsidRPr="001767CD">
        <w:rPr>
          <w:position w:val="-12"/>
        </w:rPr>
        <w:object w:dxaOrig="1579" w:dyaOrig="360">
          <v:shape id="_x0000_i1048" type="#_x0000_t75" style="width:78.75pt;height:18pt" o:ole="">
            <v:imagedata r:id="rId49" o:title=""/>
          </v:shape>
          <o:OLEObject Type="Embed" ProgID="Equation.3" ShapeID="_x0000_i1048" DrawAspect="Content" ObjectID="_1510393286" r:id="rId50"/>
        </w:object>
      </w:r>
    </w:p>
    <w:p w:rsidR="008D6CA7" w:rsidRPr="001C204F" w:rsidRDefault="008D6CA7" w:rsidP="008D6CA7">
      <w:pPr>
        <w:pStyle w:val="BodyText"/>
      </w:pPr>
      <w:r w:rsidRPr="00A3204C">
        <w:rPr>
          <w:position w:val="-14"/>
          <w:sz w:val="20"/>
        </w:rPr>
        <w:object w:dxaOrig="2420" w:dyaOrig="400">
          <v:shape id="_x0000_i1049" type="#_x0000_t75" style="width:120.75pt;height:20.25pt" o:ole="">
            <v:imagedata r:id="rId51" o:title=""/>
          </v:shape>
          <o:OLEObject Type="Embed" ProgID="Equation.3" ShapeID="_x0000_i1049" DrawAspect="Content" ObjectID="_1510393287" r:id="rId52"/>
        </w:object>
      </w:r>
      <w:r>
        <w:rPr>
          <w:sz w:val="20"/>
        </w:rPr>
        <w:tab/>
      </w:r>
      <w:r w:rsidRPr="00BF514C">
        <w:rPr>
          <w:position w:val="-14"/>
        </w:rPr>
        <w:object w:dxaOrig="1200" w:dyaOrig="400">
          <v:shape id="_x0000_i1050" type="#_x0000_t75" style="width:60pt;height:20.25pt" o:ole="">
            <v:imagedata r:id="rId53" o:title=""/>
          </v:shape>
          <o:OLEObject Type="Embed" ProgID="Equation.3" ShapeID="_x0000_i1050" DrawAspect="Content" ObjectID="_1510393288" r:id="rId54"/>
        </w:object>
      </w:r>
    </w:p>
    <w:p w:rsidR="008D6CA7" w:rsidRPr="001C204F" w:rsidRDefault="008D6CA7" w:rsidP="008D6CA7">
      <w:pPr>
        <w:pStyle w:val="BodyText"/>
      </w:pPr>
      <w:r w:rsidRPr="00234D82">
        <w:rPr>
          <w:position w:val="-14"/>
          <w:sz w:val="20"/>
        </w:rPr>
        <w:object w:dxaOrig="2120" w:dyaOrig="400">
          <v:shape id="_x0000_i1051" type="#_x0000_t75" style="width:105.75pt;height:20.25pt" o:ole="">
            <v:imagedata r:id="rId55" o:title=""/>
          </v:shape>
          <o:OLEObject Type="Embed" ProgID="Equation.3" ShapeID="_x0000_i1051" DrawAspect="Content" ObjectID="_1510393289" r:id="rId56"/>
        </w:object>
      </w:r>
      <w:r>
        <w:rPr>
          <w:sz w:val="20"/>
        </w:rPr>
        <w:tab/>
      </w:r>
      <w:r>
        <w:rPr>
          <w:sz w:val="20"/>
        </w:rPr>
        <w:tab/>
      </w:r>
      <w:r w:rsidRPr="00BF514C">
        <w:rPr>
          <w:position w:val="-14"/>
        </w:rPr>
        <w:object w:dxaOrig="780" w:dyaOrig="380">
          <v:shape id="_x0000_i1052" type="#_x0000_t75" style="width:39pt;height:18.75pt" o:ole="">
            <v:imagedata r:id="rId57" o:title=""/>
          </v:shape>
          <o:OLEObject Type="Embed" ProgID="Equation.3" ShapeID="_x0000_i1052" DrawAspect="Content" ObjectID="_1510393290" r:id="rId58"/>
        </w:object>
      </w:r>
    </w:p>
    <w:p w:rsidR="008D6CA7" w:rsidRDefault="008D6CA7" w:rsidP="008D6CA7">
      <w:pPr>
        <w:pStyle w:val="Heading4"/>
      </w:pPr>
      <w:r>
        <w:lastRenderedPageBreak/>
        <w:t>Diffusion in sinusoid and space of Disse (</w:t>
      </w:r>
      <w:r w:rsidRPr="00D234C8">
        <w:rPr>
          <w:position w:val="-28"/>
        </w:rPr>
        <w:object w:dxaOrig="780" w:dyaOrig="680">
          <v:shape id="_x0000_i1053" type="#_x0000_t75" style="width:39pt;height:33.75pt" o:ole="">
            <v:imagedata r:id="rId59" o:title=""/>
          </v:shape>
          <o:OLEObject Type="Embed" ProgID="Equation.3" ShapeID="_x0000_i1053" DrawAspect="Content" ObjectID="_1510393291" r:id="rId60"/>
        </w:object>
      </w:r>
      <w:r>
        <w:t>)</w:t>
      </w:r>
    </w:p>
    <w:p w:rsidR="008D6CA7" w:rsidRDefault="008D6CA7" w:rsidP="008D6CA7">
      <w:pPr>
        <w:pStyle w:val="BodyText"/>
        <w:rPr>
          <w:sz w:val="20"/>
        </w:rPr>
      </w:pPr>
      <w:r w:rsidRPr="000C2218">
        <w:rPr>
          <w:position w:val="-30"/>
          <w:sz w:val="18"/>
        </w:rPr>
        <w:object w:dxaOrig="2860" w:dyaOrig="720">
          <v:shape id="_x0000_i1054" type="#_x0000_t75" style="width:143.25pt;height:36pt" o:ole="">
            <v:imagedata r:id="rId61" o:title=""/>
          </v:shape>
          <o:OLEObject Type="Embed" ProgID="Equation.3" ShapeID="_x0000_i1054" DrawAspect="Content" ObjectID="_1510393292" r:id="rId62"/>
        </w:object>
      </w:r>
      <w:r>
        <w:rPr>
          <w:sz w:val="20"/>
        </w:rPr>
        <w:tab/>
      </w:r>
      <w:r w:rsidRPr="00161883">
        <w:rPr>
          <w:position w:val="-14"/>
        </w:rPr>
        <w:object w:dxaOrig="1120" w:dyaOrig="400">
          <v:shape id="_x0000_i1055" type="#_x0000_t75" style="width:56.25pt;height:20.25pt" o:ole="">
            <v:imagedata r:id="rId43" o:title=""/>
          </v:shape>
          <o:OLEObject Type="Embed" ProgID="Equation.3" ShapeID="_x0000_i1055" DrawAspect="Content" ObjectID="_1510393293" r:id="rId63"/>
        </w:object>
      </w:r>
    </w:p>
    <w:p w:rsidR="008D6CA7" w:rsidRPr="00D770B2" w:rsidRDefault="008D6CA7" w:rsidP="008D6CA7">
      <w:pPr>
        <w:pStyle w:val="BodyText"/>
        <w:rPr>
          <w:vertAlign w:val="superscript"/>
        </w:rPr>
      </w:pPr>
      <w:r w:rsidRPr="00D770B2">
        <w:rPr>
          <w:position w:val="-30"/>
          <w:sz w:val="20"/>
        </w:rPr>
        <w:object w:dxaOrig="2820" w:dyaOrig="720">
          <v:shape id="_x0000_i1056" type="#_x0000_t75" style="width:141pt;height:36pt" o:ole="">
            <v:imagedata r:id="rId64" o:title=""/>
          </v:shape>
          <o:OLEObject Type="Embed" ProgID="Equation.3" ShapeID="_x0000_i1056" DrawAspect="Content" ObjectID="_1510393294" r:id="rId65"/>
        </w:object>
      </w:r>
      <w:r>
        <w:rPr>
          <w:sz w:val="20"/>
        </w:rPr>
        <w:tab/>
      </w:r>
      <w:r>
        <w:rPr>
          <w:sz w:val="20"/>
        </w:rPr>
        <w:tab/>
      </w:r>
      <w:r w:rsidRPr="00BF514C">
        <w:rPr>
          <w:position w:val="-12"/>
        </w:rPr>
        <w:object w:dxaOrig="1200" w:dyaOrig="380">
          <v:shape id="_x0000_i1057" type="#_x0000_t75" style="width:60pt;height:18.75pt" o:ole="">
            <v:imagedata r:id="rId47" o:title=""/>
          </v:shape>
          <o:OLEObject Type="Embed" ProgID="Equation.3" ShapeID="_x0000_i1057" DrawAspect="Content" ObjectID="_1510393295" r:id="rId66"/>
        </w:object>
      </w:r>
      <w:r>
        <w:rPr>
          <w:sz w:val="20"/>
        </w:rPr>
        <w:tab/>
      </w:r>
      <w:r w:rsidRPr="001767CD">
        <w:rPr>
          <w:position w:val="-12"/>
        </w:rPr>
        <w:object w:dxaOrig="1579" w:dyaOrig="360">
          <v:shape id="_x0000_i1058" type="#_x0000_t75" style="width:78.75pt;height:18pt" o:ole="">
            <v:imagedata r:id="rId49" o:title=""/>
          </v:shape>
          <o:OLEObject Type="Embed" ProgID="Equation.3" ShapeID="_x0000_i1058" DrawAspect="Content" ObjectID="_1510393296" r:id="rId67"/>
        </w:object>
      </w:r>
    </w:p>
    <w:p w:rsidR="008D6CA7" w:rsidRDefault="008D6CA7" w:rsidP="008D6CA7">
      <w:pPr>
        <w:pStyle w:val="BodyText"/>
      </w:pPr>
      <w:r w:rsidRPr="00D770B2">
        <w:rPr>
          <w:position w:val="-30"/>
          <w:sz w:val="20"/>
        </w:rPr>
        <w:object w:dxaOrig="3040" w:dyaOrig="720">
          <v:shape id="_x0000_i1059" type="#_x0000_t75" style="width:152.25pt;height:36pt" o:ole="">
            <v:imagedata r:id="rId68" o:title=""/>
          </v:shape>
          <o:OLEObject Type="Embed" ProgID="Equation.3" ShapeID="_x0000_i1059" DrawAspect="Content" ObjectID="_1510393297" r:id="rId69"/>
        </w:object>
      </w:r>
      <w:r>
        <w:rPr>
          <w:sz w:val="20"/>
        </w:rPr>
        <w:tab/>
      </w:r>
      <w:r w:rsidRPr="00BF514C">
        <w:rPr>
          <w:position w:val="-14"/>
        </w:rPr>
        <w:object w:dxaOrig="1200" w:dyaOrig="400">
          <v:shape id="_x0000_i1060" type="#_x0000_t75" style="width:60pt;height:20.25pt" o:ole="">
            <v:imagedata r:id="rId53" o:title=""/>
          </v:shape>
          <o:OLEObject Type="Embed" ProgID="Equation.3" ShapeID="_x0000_i1060" DrawAspect="Content" ObjectID="_1510393298" r:id="rId70"/>
        </w:object>
      </w:r>
    </w:p>
    <w:p w:rsidR="008D6CA7" w:rsidRDefault="008D6CA7" w:rsidP="008D6CA7">
      <w:pPr>
        <w:pStyle w:val="BodyText"/>
      </w:pPr>
      <w:r w:rsidRPr="004A713F">
        <w:rPr>
          <w:position w:val="-30"/>
          <w:sz w:val="20"/>
        </w:rPr>
        <w:object w:dxaOrig="2820" w:dyaOrig="720">
          <v:shape id="_x0000_i1061" type="#_x0000_t75" style="width:141pt;height:36pt" o:ole="">
            <v:imagedata r:id="rId71" o:title=""/>
          </v:shape>
          <o:OLEObject Type="Embed" ProgID="Equation.3" ShapeID="_x0000_i1061" DrawAspect="Content" ObjectID="_1510393299" r:id="rId72"/>
        </w:object>
      </w:r>
      <w:r>
        <w:rPr>
          <w:sz w:val="20"/>
        </w:rPr>
        <w:tab/>
      </w:r>
      <w:r>
        <w:rPr>
          <w:sz w:val="20"/>
        </w:rPr>
        <w:tab/>
      </w:r>
      <w:r w:rsidRPr="00BF514C">
        <w:rPr>
          <w:position w:val="-12"/>
        </w:rPr>
        <w:object w:dxaOrig="1120" w:dyaOrig="380">
          <v:shape id="_x0000_i1062" type="#_x0000_t75" style="width:56.25pt;height:18.75pt" o:ole="">
            <v:imagedata r:id="rId73" o:title=""/>
          </v:shape>
          <o:OLEObject Type="Embed" ProgID="Equation.3" ShapeID="_x0000_i1062" DrawAspect="Content" ObjectID="_1510393300" r:id="rId74"/>
        </w:object>
      </w:r>
      <w:r>
        <w:rPr>
          <w:sz w:val="20"/>
        </w:rPr>
        <w:tab/>
      </w:r>
      <w:r w:rsidRPr="001767CD">
        <w:rPr>
          <w:position w:val="-12"/>
        </w:rPr>
        <w:object w:dxaOrig="1579" w:dyaOrig="360">
          <v:shape id="_x0000_i1063" type="#_x0000_t75" style="width:78.75pt;height:18pt" o:ole="">
            <v:imagedata r:id="rId75" o:title=""/>
          </v:shape>
          <o:OLEObject Type="Embed" ProgID="Equation.3" ShapeID="_x0000_i1063" DrawAspect="Content" ObjectID="_1510393301" r:id="rId76"/>
        </w:object>
      </w:r>
    </w:p>
    <w:p w:rsidR="008D6CA7" w:rsidRPr="00460877" w:rsidRDefault="008D6CA7" w:rsidP="008D6CA7">
      <w:pPr>
        <w:pStyle w:val="BodyText"/>
      </w:pPr>
      <w:r w:rsidRPr="00D770B2">
        <w:rPr>
          <w:position w:val="-30"/>
          <w:sz w:val="20"/>
        </w:rPr>
        <w:object w:dxaOrig="3760" w:dyaOrig="760">
          <v:shape id="_x0000_i1064" type="#_x0000_t75" style="width:188.25pt;height:38.25pt" o:ole="">
            <v:imagedata r:id="rId77" o:title=""/>
          </v:shape>
          <o:OLEObject Type="Embed" ProgID="Equation.3" ShapeID="_x0000_i1064" DrawAspect="Content" ObjectID="_1510393302" r:id="rId78"/>
        </w:object>
      </w:r>
      <w:r>
        <w:rPr>
          <w:sz w:val="20"/>
        </w:rPr>
        <w:tab/>
      </w:r>
      <w:r w:rsidRPr="00BF514C">
        <w:rPr>
          <w:position w:val="-12"/>
        </w:rPr>
        <w:object w:dxaOrig="1120" w:dyaOrig="380">
          <v:shape id="_x0000_i1065" type="#_x0000_t75" style="width:56.25pt;height:18.75pt" o:ole="">
            <v:imagedata r:id="rId79" o:title=""/>
          </v:shape>
          <o:OLEObject Type="Embed" ProgID="Equation.3" ShapeID="_x0000_i1065" DrawAspect="Content" ObjectID="_1510393303" r:id="rId80"/>
        </w:object>
      </w:r>
      <w:r>
        <w:rPr>
          <w:sz w:val="20"/>
        </w:rPr>
        <w:tab/>
      </w:r>
      <w:r w:rsidRPr="001767CD">
        <w:rPr>
          <w:position w:val="-12"/>
        </w:rPr>
        <w:object w:dxaOrig="1880" w:dyaOrig="360">
          <v:shape id="_x0000_i1066" type="#_x0000_t75" style="width:93.75pt;height:18pt" o:ole="">
            <v:imagedata r:id="rId81" o:title=""/>
          </v:shape>
          <o:OLEObject Type="Embed" ProgID="Equation.3" ShapeID="_x0000_i1066" DrawAspect="Content" ObjectID="_1510393304" r:id="rId82"/>
        </w:object>
      </w:r>
    </w:p>
    <w:p w:rsidR="008D6CA7" w:rsidRDefault="008D6CA7" w:rsidP="008D6CA7">
      <w:pPr>
        <w:pStyle w:val="Heading3"/>
      </w:pPr>
      <w:r>
        <w:t>Analysis dilution curves</w:t>
      </w:r>
    </w:p>
    <w:p w:rsidR="008D6CA7" w:rsidRDefault="008D6CA7" w:rsidP="008D6CA7">
      <w:r>
        <w:t xml:space="preserve">The area under the curve (AUC), mean transit time (MTT), and variance of the transit time (VTT) were calculated directly from the dilution curves using the following equations </w:t>
      </w:r>
      <w:r w:rsidR="00DA4964">
        <w:fldChar w:fldCharType="begin">
          <w:fldData xml:space="preserve">PEVuZE5vdGU+PENpdGU+PEF1dGhvcj5XYXJyZW48L0F1dGhvcj48WWVhcj4yMDA4PC9ZZWFyPjxS
ZWNOdW0+MTM3PC9SZWNOdW0+PERpc3BsYXlUZXh0PihXYXJyZW4sIGV0IGFsLiwgMjAwOCk8L0Rp
c3BsYXlUZXh0PjxyZWNvcmQ+PHJlYy1udW1iZXI+MTM3PC9yZWMtbnVtYmVyPjxmb3JlaWduLWtl
eXM+PGtleSBhcHA9IkVOIiBkYi1pZD0iYXA5NXhkdjVuNWUyc2VlZGFzdjVlNXhnZTV4czl2ZmRm
eHB6Ij4xMzc8L2tleT48L2ZvcmVpZ24ta2V5cz48cmVmLXR5cGUgbmFtZT0iSm91cm5hbCBBcnRp
Y2xlIj4xNzwvcmVmLXR5cGU+PGNvbnRyaWJ1dG9ycz48YXV0aG9ycz48YXV0aG9yPldhcnJlbiwg
QS48L2F1dGhvcj48YXV0aG9yPkNoYWJlcmVrLCBTLjwvYXV0aG9yPjxhdXRob3I+T3N0cm93c2tp
LCBLLjwvYXV0aG9yPjxhdXRob3I+Q29nZ2VyLCBWLiBDLjwvYXV0aG9yPjxhdXRob3I+SGlsbWVy
LCBTLiBOLjwvYXV0aG9yPjxhdXRob3I+TWNDdXNrZXksIFIuIFMuPC9hdXRob3I+PGF1dGhvcj5G
cmFzZXIsIFIuPC9hdXRob3I+PGF1dGhvcj5MZSBDb3V0ZXVyLCBELiBHLjwvYXV0aG9yPjwvYXV0
aG9ycz48L2NvbnRyaWJ1dG9ycz48YXV0aC1hZGRyZXNzPkNlbnRyZSBmb3IgRWR1Y2F0aW9uIGFu
ZCBSZXNlYXJjaCBvbiBBZ2VpbmcgYW5kIHRoZSBBTlpBQyBSZXNlYXJjaCBJbnN0aXR1dGUsIENv
bmNvcmQgUkcgSG9zcGl0YWwgYW5kIFVuaXZlcnNpdHkgb2YgU3lkbmV5LCBTeWRuZXksIEF1c3Ry
YWxpYS48L2F1dGgtYWRkcmVzcz48dGl0bGVzPjx0aXRsZT5FZmZlY3RzIG9mIG9sZCBhZ2Ugb24g
dmFzY3VsYXIgY29tcGxleGl0eSBhbmQgZGlzcGVyc2lvbiBvZiB0aGUgaGVwYXRpYyBzaW51c29p
ZGFsIG5ldHdvcms8L3RpdGxlPjxzZWNvbmRhcnktdGl0bGU+TWljcm9jaXJjdWxhdGlvbjwvc2Vj
b25kYXJ5LXRpdGxlPjwvdGl0bGVzPjxwYWdlcz4xOTEtMjAyPC9wYWdlcz48dm9sdW1lPjE1PC92
b2x1bWU+PG51bWJlcj4zPC9udW1iZXI+PGVkaXRpb24+MjAwOC8wNC8wNDwvZWRpdGlvbj48a2V5
d29yZHM+PGtleXdvcmQ+QWdpbmcvKnBoeXNpb2xvZ3k8L2tleXdvcmQ+PGtleXdvcmQ+QW5pbWFs
czwva2V5d29yZD48a2V5d29yZD5DYXBpbGxhcmllcy9hbmF0b215ICZhbXA7IGhpc3RvbG9neS9w
aHlzaW9sb2d5L3VsdHJhc3RydWN0dXJlPC9rZXl3b3JkPjxrZXl3b3JkPkNvcnJvc2lvbiBDYXN0
aW5nPC9rZXl3b3JkPjxrZXl3b3JkPkZvdXJpZXIgQW5hbHlzaXM8L2tleXdvcmQ+PGtleXdvcmQ+
RnJhY3RhbHM8L2tleXdvcmQ+PGtleXdvcmQ+TGl2ZXIvKmJsb29kIHN1cHBseS9waHlzaW9sb2d5
PC9rZXl3b3JkPjxrZXl3b3JkPkxpdmVyIENpcmN1bGF0aW9uLypwaHlzaW9sb2d5PC9rZXl3b3Jk
PjxrZXl3b3JkPk1hbGU8L2tleXdvcmQ+PGtleXdvcmQ+TWljcm9jaXJjdWxhdGlvbi8qcGh5c2lv
bG9neTwva2V5d29yZD48a2V5d29yZD5NaWNyb3Njb3B5LCBFbGVjdHJvbiwgU2Nhbm5pbmc8L2tl
eXdvcmQ+PGtleXdvcmQ+Kk1vZGVscywgQ2FyZGlvdmFzY3VsYXI8L2tleXdvcmQ+PGtleXdvcmQ+
UmF0czwva2V5d29yZD48a2V5d29yZD5SYXRzLCBJbmJyZWQgRjM0NDwva2V5d29yZD48L2tleXdv
cmRzPjxkYXRlcz48eWVhcj4yMDA4PC95ZWFyPjxwdWItZGF0ZXM+PGRhdGU+QXByPC9kYXRlPjwv
cHViLWRhdGVzPjwvZGF0ZXM+PGlzYm4+MTA3My05Njg4IChQcmludCkmI3hEOzEwNzMtOTY4OCAo
TGlua2luZyk8L2lzYm4+PGFjY2Vzc2lvbi1udW0+MTgzODYyMTU8L2FjY2Vzc2lvbi1udW0+PHdv
cmstdHlwZT5SZXNlYXJjaCBTdXBwb3J0LCBOLkkuSC4sIEV4dHJhbXVyYWwmI3hEO1Jlc2VhcmNo
IFN1cHBvcnQsIE5vbi1VLlMuIEdvdiZhcG9zO3Q8L3dvcmstdHlwZT48dXJscz48cmVsYXRlZC11
cmxzPjx1cmw+aHR0cDovL3d3dy5uY2JpLm5sbS5uaWguZ292L3B1Ym1lZC8xODM4NjIxNTwvdXJs
PjwvcmVsYXRlZC11cmxzPjwvdXJscz48Y3VzdG9tMj4zMDgxODU0PC9jdXN0b20yPjxlbGVjdHJv
bmljLXJlc291cmNlLW51bT4xMC4xMDgwLzEwNzM5NjgwNzAxNjAwODU2PC9lbGVjdHJvbmljLXJl
c291cmNlLW51bT48bGFuZ3VhZ2U+ZW5nPC9sYW5ndWFnZT48L3JlY29yZD48L0NpdGU+PC9FbmRO
b3RlPgB=
</w:fldData>
        </w:fldChar>
      </w:r>
      <w:r w:rsidR="00DA4964">
        <w:instrText xml:space="preserve"> ADDIN EN.CITE </w:instrText>
      </w:r>
      <w:r w:rsidR="00DA4964">
        <w:fldChar w:fldCharType="begin">
          <w:fldData xml:space="preserve">PEVuZE5vdGU+PENpdGU+PEF1dGhvcj5XYXJyZW48L0F1dGhvcj48WWVhcj4yMDA4PC9ZZWFyPjxS
ZWNOdW0+MTM3PC9SZWNOdW0+PERpc3BsYXlUZXh0PihXYXJyZW4sIGV0IGFsLiwgMjAwOCk8L0Rp
c3BsYXlUZXh0PjxyZWNvcmQ+PHJlYy1udW1iZXI+MTM3PC9yZWMtbnVtYmVyPjxmb3JlaWduLWtl
eXM+PGtleSBhcHA9IkVOIiBkYi1pZD0iYXA5NXhkdjVuNWUyc2VlZGFzdjVlNXhnZTV4czl2ZmRm
eHB6Ij4xMzc8L2tleT48L2ZvcmVpZ24ta2V5cz48cmVmLXR5cGUgbmFtZT0iSm91cm5hbCBBcnRp
Y2xlIj4xNzwvcmVmLXR5cGU+PGNvbnRyaWJ1dG9ycz48YXV0aG9ycz48YXV0aG9yPldhcnJlbiwg
QS48L2F1dGhvcj48YXV0aG9yPkNoYWJlcmVrLCBTLjwvYXV0aG9yPjxhdXRob3I+T3N0cm93c2tp
LCBLLjwvYXV0aG9yPjxhdXRob3I+Q29nZ2VyLCBWLiBDLjwvYXV0aG9yPjxhdXRob3I+SGlsbWVy
LCBTLiBOLjwvYXV0aG9yPjxhdXRob3I+TWNDdXNrZXksIFIuIFMuPC9hdXRob3I+PGF1dGhvcj5G
cmFzZXIsIFIuPC9hdXRob3I+PGF1dGhvcj5MZSBDb3V0ZXVyLCBELiBHLjwvYXV0aG9yPjwvYXV0
aG9ycz48L2NvbnRyaWJ1dG9ycz48YXV0aC1hZGRyZXNzPkNlbnRyZSBmb3IgRWR1Y2F0aW9uIGFu
ZCBSZXNlYXJjaCBvbiBBZ2VpbmcgYW5kIHRoZSBBTlpBQyBSZXNlYXJjaCBJbnN0aXR1dGUsIENv
bmNvcmQgUkcgSG9zcGl0YWwgYW5kIFVuaXZlcnNpdHkgb2YgU3lkbmV5LCBTeWRuZXksIEF1c3Ry
YWxpYS48L2F1dGgtYWRkcmVzcz48dGl0bGVzPjx0aXRsZT5FZmZlY3RzIG9mIG9sZCBhZ2Ugb24g
dmFzY3VsYXIgY29tcGxleGl0eSBhbmQgZGlzcGVyc2lvbiBvZiB0aGUgaGVwYXRpYyBzaW51c29p
ZGFsIG5ldHdvcms8L3RpdGxlPjxzZWNvbmRhcnktdGl0bGU+TWljcm9jaXJjdWxhdGlvbjwvc2Vj
b25kYXJ5LXRpdGxlPjwvdGl0bGVzPjxwYWdlcz4xOTEtMjAyPC9wYWdlcz48dm9sdW1lPjE1PC92
b2x1bWU+PG51bWJlcj4zPC9udW1iZXI+PGVkaXRpb24+MjAwOC8wNC8wNDwvZWRpdGlvbj48a2V5
d29yZHM+PGtleXdvcmQ+QWdpbmcvKnBoeXNpb2xvZ3k8L2tleXdvcmQ+PGtleXdvcmQ+QW5pbWFs
czwva2V5d29yZD48a2V5d29yZD5DYXBpbGxhcmllcy9hbmF0b215ICZhbXA7IGhpc3RvbG9neS9w
aHlzaW9sb2d5L3VsdHJhc3RydWN0dXJlPC9rZXl3b3JkPjxrZXl3b3JkPkNvcnJvc2lvbiBDYXN0
aW5nPC9rZXl3b3JkPjxrZXl3b3JkPkZvdXJpZXIgQW5hbHlzaXM8L2tleXdvcmQ+PGtleXdvcmQ+
RnJhY3RhbHM8L2tleXdvcmQ+PGtleXdvcmQ+TGl2ZXIvKmJsb29kIHN1cHBseS9waHlzaW9sb2d5
PC9rZXl3b3JkPjxrZXl3b3JkPkxpdmVyIENpcmN1bGF0aW9uLypwaHlzaW9sb2d5PC9rZXl3b3Jk
PjxrZXl3b3JkPk1hbGU8L2tleXdvcmQ+PGtleXdvcmQ+TWljcm9jaXJjdWxhdGlvbi8qcGh5c2lv
bG9neTwva2V5d29yZD48a2V5d29yZD5NaWNyb3Njb3B5LCBFbGVjdHJvbiwgU2Nhbm5pbmc8L2tl
eXdvcmQ+PGtleXdvcmQ+Kk1vZGVscywgQ2FyZGlvdmFzY3VsYXI8L2tleXdvcmQ+PGtleXdvcmQ+
UmF0czwva2V5d29yZD48a2V5d29yZD5SYXRzLCBJbmJyZWQgRjM0NDwva2V5d29yZD48L2tleXdv
cmRzPjxkYXRlcz48eWVhcj4yMDA4PC95ZWFyPjxwdWItZGF0ZXM+PGRhdGU+QXByPC9kYXRlPjwv
cHViLWRhdGVzPjwvZGF0ZXM+PGlzYm4+MTA3My05Njg4IChQcmludCkmI3hEOzEwNzMtOTY4OCAo
TGlua2luZyk8L2lzYm4+PGFjY2Vzc2lvbi1udW0+MTgzODYyMTU8L2FjY2Vzc2lvbi1udW0+PHdv
cmstdHlwZT5SZXNlYXJjaCBTdXBwb3J0LCBOLkkuSC4sIEV4dHJhbXVyYWwmI3hEO1Jlc2VhcmNo
IFN1cHBvcnQsIE5vbi1VLlMuIEdvdiZhcG9zO3Q8L3dvcmstdHlwZT48dXJscz48cmVsYXRlZC11
cmxzPjx1cmw+aHR0cDovL3d3dy5uY2JpLm5sbS5uaWguZ292L3B1Ym1lZC8xODM4NjIxNTwvdXJs
PjwvcmVsYXRlZC11cmxzPjwvdXJscz48Y3VzdG9tMj4zMDgxODU0PC9jdXN0b20yPjxlbGVjdHJv
bmljLXJlc291cmNlLW51bT4xMC4xMDgwLzEwNzM5NjgwNzAxNjAwODU2PC9lbGVjdHJvbmljLXJl
c291cmNlLW51bT48bGFuZ3VhZ2U+ZW5nPC9sYW5ndWFnZT48L3JlY29yZD48L0NpdGU+PC9FbmRO
b3RlPgB=
</w:fldData>
        </w:fldChar>
      </w:r>
      <w:r w:rsidR="00DA4964">
        <w:instrText xml:space="preserve"> ADDIN EN.CITE.DATA </w:instrText>
      </w:r>
      <w:r w:rsidR="00DA4964">
        <w:fldChar w:fldCharType="end"/>
      </w:r>
      <w:r w:rsidR="00DA4964">
        <w:fldChar w:fldCharType="separate"/>
      </w:r>
      <w:r w:rsidR="00DA4964">
        <w:rPr>
          <w:noProof/>
        </w:rPr>
        <w:t>(</w:t>
      </w:r>
      <w:hyperlink w:anchor="_ENREF_2" w:tooltip="Warren, 2008 #137" w:history="1">
        <w:r w:rsidR="00DA4964">
          <w:rPr>
            <w:noProof/>
          </w:rPr>
          <w:t>Warren, et al., 2008</w:t>
        </w:r>
      </w:hyperlink>
      <w:r w:rsidR="00DA4964">
        <w:rPr>
          <w:noProof/>
        </w:rPr>
        <w:t>)</w:t>
      </w:r>
      <w:r w:rsidR="00DA4964">
        <w:fldChar w:fldCharType="end"/>
      </w:r>
      <w:r>
        <w:t>:</w:t>
      </w:r>
    </w:p>
    <w:p w:rsidR="008D6CA7" w:rsidRDefault="008D6CA7" w:rsidP="008D6CA7">
      <w:pPr>
        <w:rPr>
          <w:sz w:val="20"/>
          <w:szCs w:val="20"/>
        </w:rPr>
      </w:pPr>
      <w:r w:rsidRPr="00E168D3">
        <w:rPr>
          <w:position w:val="-32"/>
          <w:sz w:val="20"/>
          <w:szCs w:val="20"/>
        </w:rPr>
        <w:object w:dxaOrig="1800" w:dyaOrig="760">
          <v:shape id="_x0000_i1067" type="#_x0000_t75" style="width:90pt;height:38.25pt" o:ole="">
            <v:imagedata r:id="rId83" o:title=""/>
          </v:shape>
          <o:OLEObject Type="Embed" ProgID="Equation.3" ShapeID="_x0000_i1067" DrawAspect="Content" ObjectID="_1510393305" r:id="rId84"/>
        </w:object>
      </w:r>
    </w:p>
    <w:p w:rsidR="008D6CA7" w:rsidRDefault="008D6CA7" w:rsidP="008D6CA7">
      <w:pPr>
        <w:rPr>
          <w:sz w:val="20"/>
          <w:szCs w:val="20"/>
        </w:rPr>
      </w:pPr>
      <w:r w:rsidRPr="00E168D3">
        <w:rPr>
          <w:position w:val="-24"/>
          <w:sz w:val="20"/>
          <w:szCs w:val="20"/>
        </w:rPr>
        <w:object w:dxaOrig="2020" w:dyaOrig="1040">
          <v:shape id="_x0000_i1068" type="#_x0000_t75" style="width:101.25pt;height:51.75pt" o:ole="">
            <v:imagedata r:id="rId85" o:title=""/>
          </v:shape>
          <o:OLEObject Type="Embed" ProgID="Equation.3" ShapeID="_x0000_i1068" DrawAspect="Content" ObjectID="_1510393306" r:id="rId86"/>
        </w:object>
      </w:r>
    </w:p>
    <w:p w:rsidR="008D6CA7" w:rsidRDefault="008D6CA7" w:rsidP="008D6CA7">
      <w:pPr>
        <w:rPr>
          <w:sz w:val="20"/>
          <w:szCs w:val="20"/>
        </w:rPr>
      </w:pPr>
      <w:r w:rsidRPr="00E168D3">
        <w:rPr>
          <w:position w:val="-24"/>
          <w:sz w:val="20"/>
          <w:szCs w:val="20"/>
        </w:rPr>
        <w:object w:dxaOrig="3060" w:dyaOrig="1040">
          <v:shape id="_x0000_i1069" type="#_x0000_t75" style="width:153pt;height:51.75pt" o:ole="">
            <v:imagedata r:id="rId87" o:title=""/>
          </v:shape>
          <o:OLEObject Type="Embed" ProgID="Equation.3" ShapeID="_x0000_i1069" DrawAspect="Content" ObjectID="_1510393307" r:id="rId88"/>
        </w:object>
      </w:r>
    </w:p>
    <w:p w:rsidR="008D6CA7" w:rsidRDefault="008D6CA7" w:rsidP="008D6CA7">
      <w:r>
        <w:t xml:space="preserve">The catheter and </w:t>
      </w:r>
      <w:proofErr w:type="spellStart"/>
      <w:r>
        <w:t>nonexchangable</w:t>
      </w:r>
      <w:proofErr w:type="spellEnd"/>
      <w:r>
        <w:t xml:space="preserve"> vessel transit time (</w:t>
      </w:r>
      <w:r w:rsidRPr="00C409F4">
        <w:rPr>
          <w:position w:val="-12"/>
          <w:sz w:val="20"/>
          <w:szCs w:val="20"/>
        </w:rPr>
        <w:object w:dxaOrig="220" w:dyaOrig="360">
          <v:shape id="_x0000_i1070" type="#_x0000_t75" style="width:11.25pt;height:18pt" o:ole="">
            <v:imagedata r:id="rId89" o:title=""/>
          </v:shape>
          <o:OLEObject Type="Embed" ProgID="Equation.3" ShapeID="_x0000_i1070" DrawAspect="Content" ObjectID="_1510393308" r:id="rId90"/>
        </w:object>
      </w:r>
      <w:r>
        <w:t>) was estimated from the time of first appearance of radioactivity above background levels in the experimental dilution curves.</w:t>
      </w:r>
    </w:p>
    <w:p w:rsidR="006A5BAF" w:rsidRDefault="00DA4964" w:rsidP="00DA4964">
      <w:pPr>
        <w:pStyle w:val="Heading2"/>
        <w:rPr>
          <w:rStyle w:val="Strong"/>
          <w:b/>
          <w:bCs/>
        </w:rPr>
      </w:pPr>
      <w:r w:rsidRPr="00DA4964">
        <w:rPr>
          <w:rStyle w:val="Strong"/>
          <w:b/>
          <w:bCs/>
        </w:rPr>
        <w:t>References</w:t>
      </w:r>
    </w:p>
    <w:p w:rsidR="00DA4964" w:rsidRDefault="00DA4964" w:rsidP="00DA4964">
      <w:pPr>
        <w:spacing w:line="240" w:lineRule="auto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>
        <w:rPr>
          <w:noProof/>
        </w:rPr>
        <w:t xml:space="preserve">Konig, M., Holzhutter, H.G. and Berndt, N. (2013) Metabolic gradients as key regulators in </w:t>
      </w:r>
      <w:r>
        <w:rPr>
          <w:noProof/>
        </w:rPr>
        <w:lastRenderedPageBreak/>
        <w:t xml:space="preserve">zonation of tumor energy metabolism: A tissue-scale model-based study, </w:t>
      </w:r>
      <w:r w:rsidRPr="00DA4964">
        <w:rPr>
          <w:i/>
          <w:noProof/>
        </w:rPr>
        <w:t>Biotechnology journal</w:t>
      </w:r>
      <w:r>
        <w:rPr>
          <w:noProof/>
        </w:rPr>
        <w:t xml:space="preserve">, </w:t>
      </w:r>
      <w:r w:rsidRPr="00DA4964">
        <w:rPr>
          <w:b/>
          <w:noProof/>
        </w:rPr>
        <w:t>8</w:t>
      </w:r>
      <w:r>
        <w:rPr>
          <w:noProof/>
        </w:rPr>
        <w:t>, 1058-1069.</w:t>
      </w:r>
      <w:bookmarkEnd w:id="0"/>
    </w:p>
    <w:p w:rsidR="00DA4964" w:rsidRDefault="00DA4964" w:rsidP="00DA4964">
      <w:pPr>
        <w:spacing w:line="240" w:lineRule="auto"/>
        <w:rPr>
          <w:noProof/>
        </w:rPr>
      </w:pPr>
      <w:bookmarkStart w:id="1" w:name="_ENREF_2"/>
      <w:r>
        <w:rPr>
          <w:noProof/>
        </w:rPr>
        <w:t>Warren, A.</w:t>
      </w:r>
      <w:r w:rsidRPr="00DA4964">
        <w:rPr>
          <w:i/>
          <w:noProof/>
        </w:rPr>
        <w:t>, et al.</w:t>
      </w:r>
      <w:r>
        <w:rPr>
          <w:noProof/>
        </w:rPr>
        <w:t xml:space="preserve"> (2008) Effects of old age on vascular complexity and dispersion of the hepatic sinusoidal network, </w:t>
      </w:r>
      <w:r w:rsidRPr="00DA4964">
        <w:rPr>
          <w:i/>
          <w:noProof/>
        </w:rPr>
        <w:t>Microcirculation</w:t>
      </w:r>
      <w:r>
        <w:rPr>
          <w:noProof/>
        </w:rPr>
        <w:t xml:space="preserve">, </w:t>
      </w:r>
      <w:r w:rsidRPr="00DA4964">
        <w:rPr>
          <w:b/>
          <w:noProof/>
        </w:rPr>
        <w:t>15</w:t>
      </w:r>
      <w:r>
        <w:rPr>
          <w:noProof/>
        </w:rPr>
        <w:t>, 191-202.</w:t>
      </w:r>
      <w:bookmarkEnd w:id="1"/>
    </w:p>
    <w:p w:rsidR="00DA4964" w:rsidRDefault="00DA4964" w:rsidP="00DA4964">
      <w:pPr>
        <w:spacing w:line="240" w:lineRule="auto"/>
        <w:rPr>
          <w:noProof/>
        </w:rPr>
      </w:pPr>
    </w:p>
    <w:p w:rsidR="00DA4964" w:rsidRDefault="00DA4964">
      <w:r>
        <w:fldChar w:fldCharType="end"/>
      </w:r>
      <w:bookmarkStart w:id="2" w:name="_GoBack"/>
      <w:bookmarkEnd w:id="2"/>
    </w:p>
    <w:sectPr w:rsidR="00DA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Bioinforma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p95xdv5n5e2seedasv5e5xge5xs9vfdfxpz&quot;&gt;bibliography_endnote&lt;record-ids&gt;&lt;item&gt;111&lt;/item&gt;&lt;item&gt;137&lt;/item&gt;&lt;/record-ids&gt;&lt;/item&gt;&lt;/Libraries&gt;"/>
  </w:docVars>
  <w:rsids>
    <w:rsidRoot w:val="008D6CA7"/>
    <w:rsid w:val="000174C0"/>
    <w:rsid w:val="008D6CA7"/>
    <w:rsid w:val="008E35FB"/>
    <w:rsid w:val="00DA4964"/>
    <w:rsid w:val="00F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5C4EE-2790-4515-B38A-BC1EDD22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CA7"/>
    <w:pPr>
      <w:widowControl w:val="0"/>
      <w:suppressAutoHyphens/>
      <w:spacing w:line="360" w:lineRule="auto"/>
      <w:jc w:val="both"/>
    </w:pPr>
    <w:rPr>
      <w:rFonts w:eastAsia="DejaVu Sans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CA7"/>
    <w:pPr>
      <w:keepNext/>
      <w:spacing w:before="240" w:after="240" w:line="240" w:lineRule="auto"/>
      <w:outlineLvl w:val="1"/>
    </w:pPr>
    <w:rPr>
      <w:rFonts w:eastAsia="Times New Roman"/>
      <w:b/>
      <w:bCs/>
      <w:iCs/>
      <w:caps/>
      <w:kern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CA7"/>
    <w:pPr>
      <w:keepNext/>
      <w:spacing w:before="240" w:after="60"/>
      <w:ind w:left="709"/>
      <w:outlineLvl w:val="2"/>
    </w:pPr>
    <w:rPr>
      <w:rFonts w:eastAsia="Times New Roman"/>
      <w:bCs/>
      <w:i/>
    </w:rPr>
  </w:style>
  <w:style w:type="paragraph" w:styleId="Heading4">
    <w:name w:val="heading 4"/>
    <w:basedOn w:val="Normal"/>
    <w:next w:val="BodyText"/>
    <w:link w:val="Heading4Char"/>
    <w:qFormat/>
    <w:rsid w:val="008D6CA7"/>
    <w:pPr>
      <w:keepNext/>
      <w:spacing w:before="240" w:after="12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6CA7"/>
    <w:rPr>
      <w:rFonts w:eastAsia="Times New Roman"/>
      <w:b/>
      <w:bCs/>
      <w:iCs/>
      <w:caps/>
      <w:kern w:val="24"/>
      <w:sz w:val="24"/>
      <w:szCs w:val="24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D6CA7"/>
    <w:rPr>
      <w:rFonts w:eastAsia="Times New Roman"/>
      <w:bCs/>
      <w:i/>
      <w:kern w:val="1"/>
      <w:sz w:val="24"/>
      <w:szCs w:val="24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8D6CA7"/>
    <w:rPr>
      <w:rFonts w:eastAsia="DejaVu Sans"/>
      <w:bCs/>
      <w:kern w:val="1"/>
      <w:sz w:val="24"/>
      <w:szCs w:val="24"/>
      <w:lang w:val="en-GB" w:eastAsia="hi-IN" w:bidi="hi-IN"/>
    </w:rPr>
  </w:style>
  <w:style w:type="paragraph" w:styleId="BodyText">
    <w:name w:val="Body Text"/>
    <w:basedOn w:val="Normal"/>
    <w:link w:val="BodyTextChar"/>
    <w:rsid w:val="008D6CA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6CA7"/>
    <w:rPr>
      <w:rFonts w:eastAsia="DejaVu Sans"/>
      <w:kern w:val="1"/>
      <w:sz w:val="24"/>
      <w:szCs w:val="24"/>
      <w:lang w:val="en-GB" w:eastAsia="hi-IN" w:bidi="hi-IN"/>
    </w:rPr>
  </w:style>
  <w:style w:type="character" w:styleId="Strong">
    <w:name w:val="Strong"/>
    <w:basedOn w:val="DefaultParagraphFont"/>
    <w:uiPriority w:val="22"/>
    <w:qFormat/>
    <w:rsid w:val="00DA4964"/>
    <w:rPr>
      <w:b/>
      <w:bCs/>
    </w:rPr>
  </w:style>
  <w:style w:type="character" w:styleId="Hyperlink">
    <w:name w:val="Hyperlink"/>
    <w:basedOn w:val="DefaultParagraphFont"/>
    <w:uiPriority w:val="99"/>
    <w:unhideWhenUsed/>
    <w:rsid w:val="00DA4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1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6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5.bin"/><Relationship Id="rId77" Type="http://schemas.openxmlformats.org/officeDocument/2006/relationships/image" Target="media/image35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mkoenig</dc:creator>
  <cp:keywords/>
  <dc:description/>
  <cp:lastModifiedBy>mkoenig</cp:lastModifiedBy>
  <cp:revision>2</cp:revision>
  <dcterms:created xsi:type="dcterms:W3CDTF">2015-11-30T11:52:00Z</dcterms:created>
  <dcterms:modified xsi:type="dcterms:W3CDTF">2015-11-30T11:54:00Z</dcterms:modified>
</cp:coreProperties>
</file>