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Cardiac Output (CO)</w:t>
      </w:r>
      <w:r w:rsidDel="00000000" w:rsidR="00000000" w:rsidRPr="00000000">
        <w:rPr>
          <w:rtl w:val="0"/>
        </w:rPr>
        <w:t xml:space="preserve"> can be used as a surrogate to calculate the hepatic blood flow.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Stroke Volume (SV)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Heart Rate (HR)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Cardiac Output [ml/min] = Heart rate [1/min] * Stroke Volume [ml]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Cardiac Index = Cardiac Output/BSA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Cardiac output normalized on body surface area.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HR can vary by a factor of approximately 3, between 60 and 180 beats per minute, while stroke volume (SV) can vary between 70 and 120 ml, a factor of only 1.7.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parameter related to SV is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ejection fraction</w:t>
        </w:r>
      </w:hyperlink>
      <w:r w:rsidDel="00000000" w:rsidR="00000000" w:rsidRPr="00000000">
        <w:rPr>
          <w:b w:val="1"/>
          <w:rtl w:val="0"/>
        </w:rPr>
        <w:t xml:space="preserve"> (EF)</w:t>
      </w:r>
      <w:r w:rsidDel="00000000" w:rsidR="00000000" w:rsidRPr="00000000">
        <w:rPr>
          <w:rtl w:val="0"/>
        </w:rPr>
        <w:t xml:space="preserve">. EF is the fraction of blood ejected by the left Ventricle (LV) during the contraction or ejection phase of the cardiac cycle or systole.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 to the start of systole, the LV is filled with blood to the capacity known as </w:t>
      </w:r>
      <w:r w:rsidDel="00000000" w:rsidR="00000000" w:rsidRPr="00000000">
        <w:rPr>
          <w:b w:val="1"/>
          <w:rtl w:val="0"/>
        </w:rPr>
        <w:t xml:space="preserve">end diastolic volume (EDV)</w:t>
      </w:r>
      <w:r w:rsidDel="00000000" w:rsidR="00000000" w:rsidRPr="00000000">
        <w:rPr>
          <w:rtl w:val="0"/>
        </w:rPr>
        <w:t xml:space="preserve"> during the filling phase or diastole. During systole, the LV contracts and ejects blood until it reaches its </w:t>
      </w:r>
      <w:r w:rsidDel="00000000" w:rsidR="00000000" w:rsidRPr="00000000">
        <w:rPr>
          <w:b w:val="1"/>
          <w:rtl w:val="0"/>
        </w:rPr>
        <w:t xml:space="preserve">minimum capacity known as end systolic volume (ESV)</w:t>
      </w:r>
      <w:r w:rsidDel="00000000" w:rsidR="00000000" w:rsidRPr="00000000">
        <w:rPr>
          <w:rtl w:val="0"/>
        </w:rPr>
        <w:t xml:space="preserve">, it does not empty completely.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Stroke Volume (SV) = EDV – ESV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Ejection Fraction (EF) = (SV / EDV) ×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Cardiac Output (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 = SV × HR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Cardiac Index</w:t>
        </w:r>
      </w:hyperlink>
      <w:r w:rsidDel="00000000" w:rsidR="00000000" w:rsidRPr="00000000">
        <w:rPr>
          <w:rtl w:val="0"/>
        </w:rPr>
        <w:t xml:space="preserve"> (CI) =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/ Body Surface Area (BSA) = SV × HR/BSA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HR is Heart Rate, expressed as BPM (Beats Per Minute)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BSA is Body Surface Area in square metres.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Measuring cardiac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a number of clinical methods for measurement of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ranging from direct intracardiac catheterisation to non-invasive measurement of the arterial pulse.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ultrasound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echocardiography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40" w:before="240" w:lineRule="auto"/>
        <w:ind w:left="720" w:hanging="360"/>
        <w:contextualSpacing w:val="1"/>
        <w:rPr/>
      </w:pPr>
      <w:bookmarkStart w:colFirst="0" w:colLast="0" w:name="h.6j0hfmuo22fk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Transcutaneous Doppler: USCOM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Ejection_fraction" TargetMode="External"/><Relationship Id="rId6" Type="http://schemas.openxmlformats.org/officeDocument/2006/relationships/hyperlink" Target="https://en.wikipedia.org/wiki/Ejection_fraction" TargetMode="External"/><Relationship Id="rId7" Type="http://schemas.openxmlformats.org/officeDocument/2006/relationships/hyperlink" Target="https://en.wikipedia.org/wiki/Cardiac_index" TargetMode="External"/></Relationships>
</file>