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 2015-02-18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Liver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  <w:t xml:space="preserve">Volume Liver per Bodyweight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  <w:t xml:space="preserve">FlowLiver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  <w:t xml:space="preserve">FlowLiver per Bodyweight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  <w:t xml:space="preserve">GEC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pt8vnitgllh" w:id="0"/>
      <w:bookmarkEnd w:id="0"/>
      <w:r w:rsidDel="00000000" w:rsidR="00000000" w:rsidRPr="00000000">
        <w:rPr>
          <w:rtl w:val="0"/>
        </w:rPr>
        <w:t xml:space="preserve">GEC per Bodyweight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