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96gybmokc72" w:id="0"/>
      <w:bookmarkEnd w:id="0"/>
      <w:r w:rsidDel="00000000" w:rsidR="00000000" w:rsidRPr="00000000">
        <w:rPr>
          <w:rtl w:val="0"/>
        </w:rPr>
        <w:t xml:space="preserve">NHANES III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http://www.cdc.gov/nchs/nhanes/nh3data.htm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385"/>
        <w:gridCol w:w="2910"/>
        <w:gridCol w:w="1320"/>
        <w:gridCol w:w="360"/>
        <w:gridCol w:w="825"/>
        <w:tblGridChange w:id="0">
          <w:tblGrid>
            <w:gridCol w:w="1560"/>
            <w:gridCol w:w="2385"/>
            <w:gridCol w:w="2910"/>
            <w:gridCol w:w="1320"/>
            <w:gridCol w:w="360"/>
            <w:gridCol w:w="8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NHANES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NHANES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data 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SEQN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sequence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HSSEX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(adult, exam)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RIAGENDR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HSAGEIR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(adult)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HSAGEU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(adult)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HSAITMOR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(adult)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RIDAGEYR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 at interview - qty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 at interview - unit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 in month at interview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RIAAGEMN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RIAAGEEX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ethnicity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DMARETHN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(adult, exam)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DMARACER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(adult, exam)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RIDRETH1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RIDRETH2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Race-ethnicity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Ethnicity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BMDSTATS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 measures component status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BMX_f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 measures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BMPHT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(exam)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BMPHTFLG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(exam)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BMXHT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Standing height (cm)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Standing height source flag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height [cm]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BMX_f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 measures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BMPWT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(exam)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BMPWTFLG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(exam)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BMXWT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weight (kg) (2 months and over)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weight source flag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weight [kg]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BMX_f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 measures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BMI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BMPBMI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(exam)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BMXBMI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 mass index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BMX_f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 measures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BMXWAIST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waist circumference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BMX_f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body measures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dc.gov/nchs/nhanes/nh3data.htm" TargetMode="External"/></Relationships>
</file>