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rcbxfi5ned6i" w:id="0"/>
      <w:bookmarkEnd w:id="0"/>
      <w:r w:rsidDel="00000000" w:rsidR="00000000" w:rsidRPr="00000000">
        <w:rPr>
          <w:rtl w:val="0"/>
        </w:rPr>
        <w:t xml:space="preserve">General approaches</w:t>
      </w:r>
    </w:p>
    <w:p w:rsidR="00000000" w:rsidDel="00000000" w:rsidP="00000000" w:rsidRDefault="00000000" w:rsidRPr="00000000">
      <w:pPr>
        <w:contextualSpacing w:val="0"/>
      </w:pPr>
      <w:r w:rsidDel="00000000" w:rsidR="00000000" w:rsidRPr="00000000">
        <w:rPr>
          <w:rtl w:val="0"/>
        </w:rPr>
        <w:t xml:space="preserve">Modeling interindividual variation in internal doses in humans using PBPK models requires data on the variation in physiological parameters across the population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Price, Paul S et al. "Modeling interindividual variation in physiological factors used in PBPK models of humans." Critical reviews in toxicology 33.5 (2003): 469-503.</w:t>
      </w:r>
    </w:p>
    <w:p w:rsidR="00000000" w:rsidDel="00000000" w:rsidP="00000000" w:rsidRDefault="00000000" w:rsidRPr="00000000">
      <w:pPr>
        <w:contextualSpacing w:val="0"/>
      </w:pPr>
      <w:r w:rsidDel="00000000" w:rsidR="00000000" w:rsidRPr="00000000">
        <w:rPr>
          <w:color w:val="0000ff"/>
          <w:rtl w:val="0"/>
        </w:rPr>
        <w:t xml:space="preserve">{Price2003}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Large set of equations for organs and blood flow based on NHANES III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Willmann, Stefan et al. "Development of a physiology-based whole-body population model for assessing the influence of individual variability on the pharmacokinetics of drugs." Journal of pharmacokinetics and pharmacodynamics 34.3 (2007): 401-431.</w:t>
      </w:r>
    </w:p>
    <w:p w:rsidR="00000000" w:rsidDel="00000000" w:rsidP="00000000" w:rsidRDefault="00000000" w:rsidRPr="00000000">
      <w:pPr>
        <w:contextualSpacing w:val="0"/>
      </w:pPr>
      <w:r w:rsidDel="00000000" w:rsidR="00000000" w:rsidRPr="00000000">
        <w:rPr>
          <w:rtl w:val="0"/>
        </w:rPr>
        <w:t xml:space="preserve">A physiology-based pharmacokinetic (PBPK) population model was developed that makes use of known distributions of physiological and anthropometric properties obtained from literature for realistic populations. As input parameters the model requires </w:t>
      </w:r>
      <w:r w:rsidDel="00000000" w:rsidR="00000000" w:rsidRPr="00000000">
        <w:rPr>
          <w:b w:val="1"/>
          <w:rtl w:val="0"/>
        </w:rPr>
        <w:t xml:space="preserve">race, gender, age</w:t>
      </w:r>
      <w:r w:rsidDel="00000000" w:rsidR="00000000" w:rsidRPr="00000000">
        <w:rPr>
          <w:rtl w:val="0"/>
        </w:rPr>
        <w:t xml:space="preserve"> and two parameters out of </w:t>
      </w:r>
      <w:r w:rsidDel="00000000" w:rsidR="00000000" w:rsidRPr="00000000">
        <w:rPr>
          <w:b w:val="1"/>
          <w:rtl w:val="0"/>
        </w:rPr>
        <w:t xml:space="preserve">body weight</w:t>
      </w:r>
      <w:r w:rsidDel="00000000" w:rsidR="00000000" w:rsidRPr="00000000">
        <w:rPr>
          <w:rtl w:val="0"/>
        </w:rPr>
        <w:t xml:space="preserve">, </w:t>
      </w:r>
      <w:r w:rsidDel="00000000" w:rsidR="00000000" w:rsidRPr="00000000">
        <w:rPr>
          <w:b w:val="1"/>
          <w:rtl w:val="0"/>
        </w:rPr>
        <w:t xml:space="preserve">height </w:t>
      </w:r>
      <w:r w:rsidDel="00000000" w:rsidR="00000000" w:rsidRPr="00000000">
        <w:rPr>
          <w:rtl w:val="0"/>
        </w:rPr>
        <w:t xml:space="preserve">and </w:t>
      </w:r>
      <w:r w:rsidDel="00000000" w:rsidR="00000000" w:rsidRPr="00000000">
        <w:rPr>
          <w:b w:val="1"/>
          <w:rtl w:val="0"/>
        </w:rPr>
        <w:t xml:space="preserve">BMI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s47z0r9syr6" w:id="1"/>
      <w:bookmarkEnd w:id="1"/>
      <w:r w:rsidDel="00000000" w:rsidR="00000000" w:rsidRPr="00000000">
        <w:rPr>
          <w:rtl w:val="0"/>
        </w:rPr>
        <w:t xml:space="preserve">Formulas for scaling</w:t>
      </w:r>
    </w:p>
    <w:p w:rsidR="00000000" w:rsidDel="00000000" w:rsidP="00000000" w:rsidRDefault="00000000" w:rsidRPr="00000000">
      <w:pPr>
        <w:pStyle w:val="Heading2"/>
        <w:contextualSpacing w:val="0"/>
      </w:pPr>
      <w:bookmarkStart w:colFirst="0" w:colLast="0" w:name="h.8mwgmm2j5alt" w:id="2"/>
      <w:bookmarkEnd w:id="2"/>
      <w:r w:rsidDel="00000000" w:rsidR="00000000" w:rsidRPr="00000000">
        <w:rPr>
          <w:rtl w:val="0"/>
        </w:rPr>
        <w:t xml:space="preserve">BSA (body surface area)</w:t>
      </w:r>
    </w:p>
    <w:p w:rsidR="00000000" w:rsidDel="00000000" w:rsidP="00000000" w:rsidRDefault="00000000" w:rsidRPr="00000000">
      <w:pPr>
        <w:contextualSpacing w:val="0"/>
      </w:pPr>
      <w:r w:rsidDel="00000000" w:rsidR="00000000" w:rsidRPr="00000000">
        <w:rPr>
          <w:rtl w:val="0"/>
        </w:rPr>
        <w:t xml:space="preserve">Several authors have developed formulae to estimate the surface area of the</w:t>
      </w:r>
    </w:p>
    <w:p w:rsidR="00000000" w:rsidDel="00000000" w:rsidP="00000000" w:rsidRDefault="00000000" w:rsidRPr="00000000">
      <w:pPr>
        <w:contextualSpacing w:val="0"/>
      </w:pPr>
      <w:r w:rsidDel="00000000" w:rsidR="00000000" w:rsidRPr="00000000">
        <w:rPr>
          <w:rtl w:val="0"/>
        </w:rPr>
        <w:t xml:space="preserve">body (Dubois and Dubois, 1916; Boyd, 1935; Gehan and George, 1970; Haycock et</w:t>
      </w:r>
    </w:p>
    <w:p w:rsidR="00000000" w:rsidDel="00000000" w:rsidP="00000000" w:rsidRDefault="00000000" w:rsidRPr="00000000">
      <w:pPr>
        <w:contextualSpacing w:val="0"/>
      </w:pPr>
      <w:r w:rsidDel="00000000" w:rsidR="00000000" w:rsidRPr="00000000">
        <w:rPr>
          <w:rtl w:val="0"/>
        </w:rPr>
        <w:t xml:space="preserve">al., 1978; Lentner, 1984). These formulae generally are of the form:</w:t>
      </w:r>
    </w:p>
    <w:p w:rsidR="00000000" w:rsidDel="00000000" w:rsidP="00000000" w:rsidRDefault="00000000" w:rsidRPr="00000000">
      <w:pPr>
        <w:contextualSpacing w:val="0"/>
      </w:pPr>
      <w:r w:rsidDel="00000000" w:rsidR="00000000" w:rsidRPr="00000000">
        <w:rPr>
          <w:rtl w:val="0"/>
        </w:rPr>
        <w:t xml:space="preserve">BSA = a0 *H^a1 * M^a2</w:t>
      </w:r>
    </w:p>
    <w:p w:rsidR="00000000" w:rsidDel="00000000" w:rsidP="00000000" w:rsidRDefault="00000000" w:rsidRPr="00000000">
      <w:pPr>
        <w:contextualSpacing w:val="0"/>
      </w:pPr>
      <w:r w:rsidDel="00000000" w:rsidR="00000000" w:rsidRPr="00000000">
        <w:rPr>
          <w:rtl w:val="0"/>
        </w:rPr>
        <w:t xml:space="preserve">where BSA is surface area (m2), H is height (cm), and M is mass (kg). {</w:t>
      </w:r>
      <w:r w:rsidDel="00000000" w:rsidR="00000000" w:rsidRPr="00000000">
        <w:rPr>
          <w:color w:val="0000ff"/>
          <w:rtl w:val="0"/>
        </w:rPr>
        <w:t xml:space="preserve">Valentin2002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Calculation of BSA using Mosteller’s formula </w:t>
      </w:r>
      <w:r w:rsidDel="00000000" w:rsidR="00000000" w:rsidRPr="00000000">
        <w:rPr>
          <w:color w:val="0000ff"/>
          <w:rtl w:val="0"/>
        </w:rPr>
        <w:t xml:space="preserve">{Moesteller1987}</w:t>
      </w:r>
    </w:p>
    <w:p w:rsidR="00000000" w:rsidDel="00000000" w:rsidP="00000000" w:rsidRDefault="00000000" w:rsidRPr="00000000">
      <w:pPr>
        <w:contextualSpacing w:val="0"/>
      </w:pPr>
      <w:r w:rsidDel="00000000" w:rsidR="00000000" w:rsidRPr="00000000">
        <w:rPr>
          <w:rtl w:val="0"/>
        </w:rPr>
        <w:t xml:space="preserve">BSA = f (height [cm], weight[cm]</w:t>
      </w:r>
    </w:p>
    <w:p w:rsidR="00000000" w:rsidDel="00000000" w:rsidP="00000000" w:rsidRDefault="00000000" w:rsidRPr="00000000">
      <w:pPr>
        <w:contextualSpacing w:val="0"/>
      </w:pPr>
      <m:oMath>
        <m:r>
          <w:rPr/>
          <m:t xml:space="preserve">BSA[m²] = </m:t>
        </m:r>
        <m:rad>
          <m:radPr>
            <m:degHide m:val="1"/>
            <m:ctrlPr>
              <w:rPr/>
            </m:ctrlPr>
          </m:radPr>
          <m:e>
            <m:r>
              <w:rPr/>
              <m:t xml:space="preserve">(height [cm] * weight [kg]/3600[</m:t>
            </m:r>
            <m:sSup>
              <m:sSupPr>
                <m:ctrlPr>
                  <w:rPr/>
                </m:ctrlPr>
              </m:sSupPr>
              <m:e>
                <m:r>
                  <w:rPr/>
                  <m:t xml:space="preserve">m</m:t>
                </m:r>
              </m:e>
              <m:sup>
                <m:r>
                  <w:rPr/>
                  <m:t xml:space="preserve">4</m:t>
                </m:r>
              </m:sup>
            </m:sSup>
            <m:r>
              <w:rPr/>
              <m:t xml:space="preserve">/kg/cm])</m:t>
            </m:r>
          </m:e>
        </m:rad>
      </m:oMath>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Calculation of BSA using classic DuBois’s formula </w:t>
      </w:r>
      <w:r w:rsidDel="00000000" w:rsidR="00000000" w:rsidRPr="00000000">
        <w:rPr>
          <w:color w:val="0000ff"/>
          <w:rtl w:val="0"/>
        </w:rPr>
        <w:t xml:space="preserve">{Moesteller1987}</w:t>
      </w:r>
    </w:p>
    <w:p w:rsidR="00000000" w:rsidDel="00000000" w:rsidP="00000000" w:rsidRDefault="00000000" w:rsidRPr="00000000">
      <w:pPr>
        <w:contextualSpacing w:val="0"/>
      </w:pPr>
      <m:oMath>
        <m:r>
          <w:rPr/>
          <m:t xml:space="preserve">BSA[m²] =0.007184*</m:t>
        </m:r>
        <m:sSup>
          <m:sSupPr>
            <m:ctrlPr>
              <w:rPr/>
            </m:ctrlPr>
          </m:sSupPr>
          <m:e>
            <m:r>
              <w:rPr/>
              <m:t xml:space="preserve">height[cm]</m:t>
            </m:r>
          </m:e>
          <m:sup>
            <m:r>
              <w:rPr/>
              <m:t xml:space="preserve">0.725</m:t>
            </m:r>
          </m:sup>
        </m:sSup>
      </m:oMath>
      <m:oMath>
        <m:sSup>
          <m:sSupPr>
            <m:ctrlPr>
              <w:rPr/>
            </m:ctrlPr>
          </m:sSupPr>
          <m:e>
            <m:r>
              <w:rPr/>
              <m:t xml:space="preserve">*weight[kg]</m:t>
            </m:r>
          </m:e>
          <m:sup>
            <m:r>
              <w:rPr/>
              <m:t xml:space="preserve">0.425</m:t>
            </m:r>
          </m:sup>
        </m:sSup>
      </m:oMath>
      <w:r w:rsidDel="00000000" w:rsidR="00000000" w:rsidRPr="00000000">
        <w:rPr>
          <w:rtl w:val="0"/>
        </w:rPr>
      </w:r>
    </w:p>
    <w:p w:rsidR="00000000" w:rsidDel="00000000" w:rsidP="00000000" w:rsidRDefault="00000000" w:rsidRPr="00000000">
      <w:pPr>
        <w:contextualSpacing w:val="0"/>
      </w:pPr>
      <m:oMath/>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035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{Burton2008}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BMI (body mass index)</w:t>
      </w:r>
    </w:p>
    <w:p w:rsidR="00000000" w:rsidDel="00000000" w:rsidP="00000000" w:rsidRDefault="00000000" w:rsidRPr="00000000">
      <w:pPr>
        <w:contextualSpacing w:val="0"/>
      </w:pPr>
      <w:r w:rsidDel="00000000" w:rsidR="00000000" w:rsidRPr="00000000">
        <w:rPr>
          <w:rtl w:val="0"/>
        </w:rPr>
        <w:t xml:space="preserve">BMI = f(weight[kg], height[m])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r>
          <w:rPr/>
          <m:t xml:space="preserve">BMI [kg/</m:t>
        </m:r>
        <m:sSup>
          <m:sSupPr>
            <m:ctrlPr>
              <w:rPr/>
            </m:ctrlPr>
          </m:sSupPr>
          <m:e>
            <m:r>
              <w:rPr/>
              <m:t xml:space="preserve">m</m:t>
            </m:r>
          </m:e>
          <m:sup>
            <m:r>
              <w:rPr/>
              <m:t xml:space="preserve">2</m:t>
            </m:r>
          </m:sup>
        </m:sSup>
        <m:r>
          <w:rPr/>
          <m:t xml:space="preserve">] = </m:t>
        </m:r>
        <m:f>
          <m:fPr>
            <m:ctrlPr>
              <w:rPr/>
            </m:ctrlPr>
          </m:fPr>
          <m:num>
            <m:r>
              <w:rPr/>
              <m:t xml:space="preserve">weight [kg]</m:t>
            </m:r>
          </m:num>
          <m:den>
            <m:sSup>
              <m:sSupPr>
                <m:ctrlPr>
                  <w:rPr/>
                </m:ctrlPr>
              </m:sSupPr>
              <m:e>
                <m:r>
                  <w:rPr/>
                  <m:t xml:space="preserve">(height [m])</m:t>
                </m:r>
              </m:e>
              <m:sup>
                <m:r>
                  <w:rPr/>
                  <m:t xml:space="preserve">2</m:t>
                </m:r>
              </m:sup>
            </m:sSup>
          </m:den>
        </m:f>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TLV (total liver volume)</w:t>
      </w:r>
    </w:p>
    <w:p w:rsidR="00000000" w:rsidDel="00000000" w:rsidP="00000000" w:rsidRDefault="00000000" w:rsidRPr="00000000">
      <w:pPr>
        <w:contextualSpacing w:val="0"/>
      </w:pPr>
      <w:r w:rsidDel="00000000" w:rsidR="00000000" w:rsidRPr="00000000">
        <w:rPr>
          <w:rtl w:val="0"/>
        </w:rPr>
        <w:t xml:space="preserve">The estimation of the standard liver volume (SLV) is an important component of the evaluation of potential living liver donors and the surgical planning for resection for tumors. At least 16 different formulas for estimating SLV have been published in the worldwide literature.</w:t>
      </w:r>
    </w:p>
    <w:p w:rsidR="00000000" w:rsidDel="00000000" w:rsidP="00000000" w:rsidRDefault="00000000" w:rsidRPr="00000000">
      <w:pPr>
        <w:contextualSpacing w:val="0"/>
      </w:pPr>
      <w:r w:rsidDel="00000000" w:rsidR="00000000" w:rsidRPr="00000000">
        <w:rPr>
          <w:color w:val="0000ff"/>
          <w:rtl w:val="0"/>
        </w:rPr>
        <w:t xml:space="preserve">{Pomposelli2012}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Caucasian population</w:t>
      </w:r>
    </w:p>
    <w:p w:rsidR="00000000" w:rsidDel="00000000" w:rsidP="00000000" w:rsidRDefault="00000000" w:rsidRPr="00000000">
      <w:pPr>
        <w:contextualSpacing w:val="0"/>
      </w:pPr>
      <w:r w:rsidDel="00000000" w:rsidR="00000000" w:rsidRPr="00000000">
        <w:rPr>
          <w:b w:val="1"/>
          <w:rtl w:val="0"/>
        </w:rPr>
        <w:t xml:space="preserve">n=1332 </w:t>
      </w:r>
      <w:r w:rsidDel="00000000" w:rsidR="00000000" w:rsidRPr="00000000">
        <w:rPr>
          <w:rtl w:val="0"/>
        </w:rPr>
        <w:t xml:space="preserve">(autopsy liver German)</w:t>
      </w:r>
    </w:p>
    <w:p w:rsidR="00000000" w:rsidDel="00000000" w:rsidP="00000000" w:rsidRDefault="00000000" w:rsidRPr="00000000">
      <w:pPr>
        <w:contextualSpacing w:val="0"/>
      </w:pPr>
      <w:r w:rsidDel="00000000" w:rsidR="00000000" w:rsidRPr="00000000">
        <w:rPr>
          <w:rtl w:val="0"/>
        </w:rPr>
        <w:t xml:space="preserve">TLV [ml] = f (BSA)</w:t>
      </w:r>
    </w:p>
    <w:p w:rsidR="00000000" w:rsidDel="00000000" w:rsidP="00000000" w:rsidRDefault="00000000" w:rsidRPr="00000000">
      <w:pPr>
        <w:contextualSpacing w:val="0"/>
      </w:pPr>
      <w:r w:rsidDel="00000000" w:rsidR="00000000" w:rsidRPr="00000000">
        <w:rPr>
          <w:rtl w:val="0"/>
        </w:rPr>
        <w:t xml:space="preserve">TLV [ml]= -345.7 [ml] + 1072.8 [ml/m²] * BSA [m²]</w:t>
      </w:r>
    </w:p>
    <w:p w:rsidR="00000000" w:rsidDel="00000000" w:rsidP="00000000" w:rsidRDefault="00000000" w:rsidRPr="00000000">
      <w:pPr>
        <w:contextualSpacing w:val="0"/>
      </w:pPr>
      <w:r w:rsidDel="00000000" w:rsidR="00000000" w:rsidRPr="00000000">
        <w:rPr>
          <w:color w:val="0000ff"/>
          <w:rtl w:val="0"/>
        </w:rPr>
        <w:t xml:space="preserve">{Heinemann1999}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western adults</w:t>
      </w:r>
    </w:p>
    <w:p w:rsidR="00000000" w:rsidDel="00000000" w:rsidP="00000000" w:rsidRDefault="00000000" w:rsidRPr="00000000">
      <w:pPr>
        <w:contextualSpacing w:val="0"/>
      </w:pPr>
      <w:r w:rsidDel="00000000" w:rsidR="00000000" w:rsidRPr="00000000">
        <w:rPr>
          <w:b w:val="1"/>
          <w:rtl w:val="0"/>
        </w:rPr>
        <w:t xml:space="preserve">n=292</w:t>
      </w:r>
    </w:p>
    <w:p w:rsidR="00000000" w:rsidDel="00000000" w:rsidP="00000000" w:rsidRDefault="00000000" w:rsidRPr="00000000">
      <w:pPr>
        <w:contextualSpacing w:val="0"/>
      </w:pPr>
      <w:r w:rsidDel="00000000" w:rsidR="00000000" w:rsidRPr="00000000">
        <w:rPr>
          <w:rtl w:val="0"/>
        </w:rPr>
        <w:t xml:space="preserve">TLV [ml] = f (BSA)</w:t>
      </w:r>
    </w:p>
    <w:p w:rsidR="00000000" w:rsidDel="00000000" w:rsidP="00000000" w:rsidRDefault="00000000" w:rsidRPr="00000000">
      <w:pPr>
        <w:contextualSpacing w:val="0"/>
      </w:pPr>
      <w:r w:rsidDel="00000000" w:rsidR="00000000" w:rsidRPr="00000000">
        <w:rPr>
          <w:rtl w:val="0"/>
        </w:rPr>
        <w:t xml:space="preserve">TLV [ml]= -794.41 [ml] + 1267.28 [ml/m²] * BSA [m²]</w:t>
      </w:r>
    </w:p>
    <w:p w:rsidR="00000000" w:rsidDel="00000000" w:rsidP="00000000" w:rsidRDefault="00000000" w:rsidRPr="00000000">
      <w:pPr>
        <w:contextualSpacing w:val="0"/>
      </w:pPr>
      <w:r w:rsidDel="00000000" w:rsidR="00000000" w:rsidRPr="00000000">
        <w:rPr>
          <w:rtl w:val="0"/>
        </w:rPr>
        <w:t xml:space="preserve">TLV [ml]= f (bodyweight)</w:t>
      </w:r>
    </w:p>
    <w:p w:rsidR="00000000" w:rsidDel="00000000" w:rsidP="00000000" w:rsidRDefault="00000000" w:rsidRPr="00000000">
      <w:pPr>
        <w:contextualSpacing w:val="0"/>
      </w:pPr>
      <w:r w:rsidDel="00000000" w:rsidR="00000000" w:rsidRPr="00000000">
        <w:rPr>
          <w:rtl w:val="0"/>
        </w:rPr>
        <w:t xml:space="preserve">TLV [ml] = 191.80 [ml] + 18.51 [ml/kg] * weight [kg]</w:t>
      </w:r>
    </w:p>
    <w:p w:rsidR="00000000" w:rsidDel="00000000" w:rsidP="00000000" w:rsidRDefault="00000000" w:rsidRPr="00000000">
      <w:pPr>
        <w:contextualSpacing w:val="0"/>
      </w:pPr>
      <w:r w:rsidDel="00000000" w:rsidR="00000000" w:rsidRPr="00000000">
        <w:rPr>
          <w:color w:val="0000ff"/>
          <w:rtl w:val="0"/>
        </w:rPr>
        <w:t xml:space="preserve">{Vauthey2002}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pediatric and adult japanese</w:t>
      </w:r>
    </w:p>
    <w:p w:rsidR="00000000" w:rsidDel="00000000" w:rsidP="00000000" w:rsidRDefault="00000000" w:rsidRPr="00000000">
      <w:pPr>
        <w:contextualSpacing w:val="0"/>
      </w:pPr>
      <w:r w:rsidDel="00000000" w:rsidR="00000000" w:rsidRPr="00000000">
        <w:rPr>
          <w:b w:val="1"/>
          <w:rtl w:val="0"/>
        </w:rPr>
        <w:t xml:space="preserve">n=96 </w:t>
      </w:r>
      <w:r w:rsidDel="00000000" w:rsidR="00000000" w:rsidRPr="00000000">
        <w:rPr>
          <w:rtl w:val="0"/>
        </w:rPr>
        <w:t xml:space="preserve">(65 pediatric, 31 adolescent and adult subjects)</w:t>
      </w:r>
    </w:p>
    <w:p w:rsidR="00000000" w:rsidDel="00000000" w:rsidP="00000000" w:rsidRDefault="00000000" w:rsidRPr="00000000">
      <w:pPr>
        <w:contextualSpacing w:val="0"/>
      </w:pPr>
      <w:r w:rsidDel="00000000" w:rsidR="00000000" w:rsidRPr="00000000">
        <w:rPr>
          <w:rtl w:val="0"/>
        </w:rPr>
        <w:t xml:space="preserve">TLV = f (BSA)</w:t>
      </w:r>
    </w:p>
    <w:p w:rsidR="00000000" w:rsidDel="00000000" w:rsidP="00000000" w:rsidRDefault="00000000" w:rsidRPr="00000000">
      <w:pPr>
        <w:contextualSpacing w:val="0"/>
      </w:pPr>
      <w:r w:rsidDel="00000000" w:rsidR="00000000" w:rsidRPr="00000000">
        <w:rPr>
          <w:rtl w:val="0"/>
        </w:rPr>
        <w:t xml:space="preserve">TLV [ml] = 2.4 [ml] + 706.2 [ml/kg] * BSA [m²]</w:t>
      </w:r>
    </w:p>
    <w:p w:rsidR="00000000" w:rsidDel="00000000" w:rsidP="00000000" w:rsidRDefault="00000000" w:rsidRPr="00000000">
      <w:pPr>
        <w:contextualSpacing w:val="0"/>
      </w:pPr>
      <w:r w:rsidDel="00000000" w:rsidR="00000000" w:rsidRPr="00000000">
        <w:rPr>
          <w:color w:val="0000ff"/>
          <w:rtl w:val="0"/>
        </w:rPr>
        <w:t xml:space="preserve">{Urata1995}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148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{Johnson2005}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TLW (total liver weight)</w:t>
      </w:r>
    </w:p>
    <w:p w:rsidR="00000000" w:rsidDel="00000000" w:rsidP="00000000" w:rsidRDefault="00000000" w:rsidRPr="00000000">
      <w:pPr>
        <w:contextualSpacing w:val="0"/>
      </w:pPr>
      <w:r w:rsidDel="00000000" w:rsidR="00000000" w:rsidRPr="00000000">
        <w:rPr>
          <w:rtl w:val="0"/>
        </w:rPr>
        <w:t xml:space="preserve">TLW [g] = f (bodyweight, age)</w:t>
      </w:r>
    </w:p>
    <w:p w:rsidR="00000000" w:rsidDel="00000000" w:rsidP="00000000" w:rsidRDefault="00000000" w:rsidRPr="00000000">
      <w:pPr>
        <w:contextualSpacing w:val="0"/>
      </w:pPr>
      <w:r w:rsidDel="00000000" w:rsidR="00000000" w:rsidRPr="00000000">
        <w:rPr>
          <w:rtl w:val="0"/>
        </w:rPr>
        <w:t xml:space="preserve">TLV [g]= 13.2276[g/kg] * bodyweight [kg] + 4 [g/years] * age [years] + 350 [g]</w:t>
      </w:r>
    </w:p>
    <w:p w:rsidR="00000000" w:rsidDel="00000000" w:rsidP="00000000" w:rsidRDefault="00000000" w:rsidRPr="00000000">
      <w:pPr>
        <w:contextualSpacing w:val="0"/>
      </w:pPr>
      <w:r w:rsidDel="00000000" w:rsidR="00000000" w:rsidRPr="00000000">
        <w:rPr>
          <w:color w:val="0000ff"/>
          <w:rtl w:val="0"/>
        </w:rPr>
        <w:t xml:space="preserve">{Emre2001}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TLV (total liver volume)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2291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{Pomposelli2012}</w:t>
      </w:r>
    </w:p>
    <w:p w:rsidR="00000000" w:rsidDel="00000000" w:rsidP="00000000" w:rsidRDefault="00000000" w:rsidRPr="00000000">
      <w:pPr>
        <w:pStyle w:val="Heading1"/>
        <w:contextualSpacing w:val="0"/>
      </w:pPr>
      <w:bookmarkStart w:colFirst="0" w:colLast="0" w:name="h.wrxtqhniz58a" w:id="3"/>
      <w:bookmarkEnd w:id="3"/>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sz w:val="16"/>
          <w:szCs w:val="16"/>
          <w:rtl w:val="0"/>
        </w:rPr>
        <w:t xml:space="preserve">Burton, Richard F. "Estimating body surface area from mass and height: theory and the formula of Du Bois and Du Bois." </w:t>
      </w:r>
      <w:r w:rsidDel="00000000" w:rsidR="00000000" w:rsidRPr="00000000">
        <w:rPr>
          <w:i w:val="1"/>
          <w:sz w:val="16"/>
          <w:szCs w:val="16"/>
          <w:rtl w:val="0"/>
        </w:rPr>
        <w:t xml:space="preserve">Annals of human biology</w:t>
      </w:r>
      <w:r w:rsidDel="00000000" w:rsidR="00000000" w:rsidRPr="00000000">
        <w:rPr>
          <w:sz w:val="16"/>
          <w:szCs w:val="16"/>
          <w:rtl w:val="0"/>
        </w:rPr>
        <w:t xml:space="preserve"> 35.2 (2008): 170-184.</w:t>
      </w:r>
    </w:p>
    <w:p w:rsidR="00000000" w:rsidDel="00000000" w:rsidP="00000000" w:rsidRDefault="00000000" w:rsidRPr="00000000">
      <w:pPr>
        <w:contextualSpacing w:val="0"/>
      </w:pPr>
      <w:r w:rsidDel="00000000" w:rsidR="00000000" w:rsidRPr="00000000">
        <w:rPr>
          <w:sz w:val="16"/>
          <w:szCs w:val="16"/>
          <w:rtl w:val="0"/>
        </w:rPr>
        <w:t xml:space="preserve">Emre, Sukru et al. "Safety and risk of using pediatric donor livers in adult liver transplantation." </w:t>
      </w:r>
      <w:r w:rsidDel="00000000" w:rsidR="00000000" w:rsidRPr="00000000">
        <w:rPr>
          <w:i w:val="1"/>
          <w:sz w:val="16"/>
          <w:szCs w:val="16"/>
          <w:rtl w:val="0"/>
        </w:rPr>
        <w:t xml:space="preserve">Liver Transplantation</w:t>
      </w:r>
      <w:r w:rsidDel="00000000" w:rsidR="00000000" w:rsidRPr="00000000">
        <w:rPr>
          <w:sz w:val="16"/>
          <w:szCs w:val="16"/>
          <w:rtl w:val="0"/>
        </w:rPr>
        <w:t xml:space="preserve"> 7.1 (2001): 41-47.</w:t>
      </w:r>
    </w:p>
    <w:p w:rsidR="00000000" w:rsidDel="00000000" w:rsidP="00000000" w:rsidRDefault="00000000" w:rsidRPr="00000000">
      <w:pPr>
        <w:contextualSpacing w:val="0"/>
      </w:pPr>
      <w:r w:rsidDel="00000000" w:rsidR="00000000" w:rsidRPr="00000000">
        <w:rPr>
          <w:sz w:val="16"/>
          <w:szCs w:val="16"/>
          <w:rtl w:val="0"/>
        </w:rPr>
        <w:t xml:space="preserve">Heinemann, Axel et al. "Standard liver volume in the Caucasian population." </w:t>
      </w:r>
      <w:r w:rsidDel="00000000" w:rsidR="00000000" w:rsidRPr="00000000">
        <w:rPr>
          <w:i w:val="1"/>
          <w:sz w:val="16"/>
          <w:szCs w:val="16"/>
          <w:rtl w:val="0"/>
        </w:rPr>
        <w:t xml:space="preserve">Liver transplantation and surgery</w:t>
      </w:r>
      <w:r w:rsidDel="00000000" w:rsidR="00000000" w:rsidRPr="00000000">
        <w:rPr>
          <w:sz w:val="16"/>
          <w:szCs w:val="16"/>
          <w:rtl w:val="0"/>
        </w:rPr>
        <w:t xml:space="preserve"> 5.5 (1999): 366-368.</w:t>
      </w:r>
    </w:p>
    <w:p w:rsidR="00000000" w:rsidDel="00000000" w:rsidP="00000000" w:rsidRDefault="00000000" w:rsidRPr="00000000">
      <w:pPr>
        <w:contextualSpacing w:val="0"/>
      </w:pPr>
      <w:r w:rsidDel="00000000" w:rsidR="00000000" w:rsidRPr="00000000">
        <w:rPr>
          <w:sz w:val="16"/>
          <w:szCs w:val="16"/>
          <w:rtl w:val="0"/>
        </w:rPr>
        <w:t xml:space="preserve">Johnson, Trevor N et al. "Changes in liver volume from birth to adulthood: A meta‐analysis." </w:t>
      </w:r>
      <w:r w:rsidDel="00000000" w:rsidR="00000000" w:rsidRPr="00000000">
        <w:rPr>
          <w:i w:val="1"/>
          <w:sz w:val="16"/>
          <w:szCs w:val="16"/>
          <w:rtl w:val="0"/>
        </w:rPr>
        <w:t xml:space="preserve">Liver transplantation</w:t>
      </w:r>
      <w:r w:rsidDel="00000000" w:rsidR="00000000" w:rsidRPr="00000000">
        <w:rPr>
          <w:sz w:val="16"/>
          <w:szCs w:val="16"/>
          <w:rtl w:val="0"/>
        </w:rPr>
        <w:t xml:space="preserve"> 11.12 (2005): 1481-1493.</w:t>
      </w:r>
    </w:p>
    <w:p w:rsidR="00000000" w:rsidDel="00000000" w:rsidP="00000000" w:rsidRDefault="00000000" w:rsidRPr="00000000">
      <w:pPr>
        <w:contextualSpacing w:val="0"/>
      </w:pPr>
      <w:r w:rsidDel="00000000" w:rsidR="00000000" w:rsidRPr="00000000">
        <w:rPr>
          <w:sz w:val="16"/>
          <w:szCs w:val="16"/>
          <w:rtl w:val="0"/>
        </w:rPr>
        <w:t xml:space="preserve">Mosteller, RD. "Simplified calculation of body-surface area." </w:t>
      </w:r>
      <w:r w:rsidDel="00000000" w:rsidR="00000000" w:rsidRPr="00000000">
        <w:rPr>
          <w:i w:val="1"/>
          <w:sz w:val="16"/>
          <w:szCs w:val="16"/>
          <w:rtl w:val="0"/>
        </w:rPr>
        <w:t xml:space="preserve">The New England journal of medicine</w:t>
      </w:r>
      <w:r w:rsidDel="00000000" w:rsidR="00000000" w:rsidRPr="00000000">
        <w:rPr>
          <w:sz w:val="16"/>
          <w:szCs w:val="16"/>
          <w:rtl w:val="0"/>
        </w:rPr>
        <w:t xml:space="preserve"> 317.17 (1987): 1098.</w:t>
      </w:r>
    </w:p>
    <w:p w:rsidR="00000000" w:rsidDel="00000000" w:rsidP="00000000" w:rsidRDefault="00000000" w:rsidRPr="00000000">
      <w:pPr>
        <w:contextualSpacing w:val="0"/>
      </w:pPr>
      <w:r w:rsidDel="00000000" w:rsidR="00000000" w:rsidRPr="00000000">
        <w:rPr>
          <w:sz w:val="16"/>
          <w:szCs w:val="16"/>
          <w:rtl w:val="0"/>
        </w:rPr>
        <w:t xml:space="preserve">Pomposelli, James J et al. "Variability of standard liver volume estimation versus software‐assisted total liver volume measurement." </w:t>
      </w:r>
      <w:r w:rsidDel="00000000" w:rsidR="00000000" w:rsidRPr="00000000">
        <w:rPr>
          <w:i w:val="1"/>
          <w:sz w:val="16"/>
          <w:szCs w:val="16"/>
          <w:rtl w:val="0"/>
        </w:rPr>
        <w:t xml:space="preserve">Liver Transplantation</w:t>
      </w:r>
      <w:r w:rsidDel="00000000" w:rsidR="00000000" w:rsidRPr="00000000">
        <w:rPr>
          <w:sz w:val="16"/>
          <w:szCs w:val="16"/>
          <w:rtl w:val="0"/>
        </w:rPr>
        <w:t xml:space="preserve"> 18.9 (2012): 1083-1092.</w:t>
      </w:r>
    </w:p>
    <w:p w:rsidR="00000000" w:rsidDel="00000000" w:rsidP="00000000" w:rsidRDefault="00000000" w:rsidRPr="00000000">
      <w:pPr>
        <w:contextualSpacing w:val="0"/>
      </w:pPr>
      <w:r w:rsidDel="00000000" w:rsidR="00000000" w:rsidRPr="00000000">
        <w:rPr>
          <w:sz w:val="16"/>
          <w:szCs w:val="16"/>
          <w:rtl w:val="0"/>
        </w:rPr>
        <w:t xml:space="preserve">Urata, Koichi et al. "Calculation of child and adult standard liver volume for liver transplantation." </w:t>
      </w:r>
      <w:r w:rsidDel="00000000" w:rsidR="00000000" w:rsidRPr="00000000">
        <w:rPr>
          <w:i w:val="1"/>
          <w:sz w:val="16"/>
          <w:szCs w:val="16"/>
          <w:rtl w:val="0"/>
        </w:rPr>
        <w:t xml:space="preserve">Hepatology</w:t>
      </w:r>
      <w:r w:rsidDel="00000000" w:rsidR="00000000" w:rsidRPr="00000000">
        <w:rPr>
          <w:sz w:val="16"/>
          <w:szCs w:val="16"/>
          <w:rtl w:val="0"/>
        </w:rPr>
        <w:t xml:space="preserve"> 21.5 (1995): 1317-1321.</w:t>
      </w:r>
    </w:p>
    <w:p w:rsidR="00000000" w:rsidDel="00000000" w:rsidP="00000000" w:rsidRDefault="00000000" w:rsidRPr="00000000">
      <w:pPr>
        <w:contextualSpacing w:val="0"/>
      </w:pPr>
      <w:r w:rsidDel="00000000" w:rsidR="00000000" w:rsidRPr="00000000">
        <w:rPr>
          <w:sz w:val="16"/>
          <w:szCs w:val="16"/>
          <w:rtl w:val="0"/>
        </w:rPr>
        <w:t xml:space="preserve">Valentin, Jack. "Basic anatomical and physiological data for use in radiological protection: reference values: ICRP Publication 89." </w:t>
      </w:r>
      <w:r w:rsidDel="00000000" w:rsidR="00000000" w:rsidRPr="00000000">
        <w:rPr>
          <w:i w:val="1"/>
          <w:sz w:val="16"/>
          <w:szCs w:val="16"/>
          <w:rtl w:val="0"/>
        </w:rPr>
        <w:t xml:space="preserve">Annals of the ICRP</w:t>
      </w:r>
      <w:r w:rsidDel="00000000" w:rsidR="00000000" w:rsidRPr="00000000">
        <w:rPr>
          <w:sz w:val="16"/>
          <w:szCs w:val="16"/>
          <w:rtl w:val="0"/>
        </w:rPr>
        <w:t xml:space="preserve"> 32.3 (2002): 1-277.</w:t>
      </w:r>
    </w:p>
    <w:p w:rsidR="00000000" w:rsidDel="00000000" w:rsidP="00000000" w:rsidRDefault="00000000" w:rsidRPr="00000000">
      <w:pPr>
        <w:contextualSpacing w:val="0"/>
      </w:pPr>
      <w:r w:rsidDel="00000000" w:rsidR="00000000" w:rsidRPr="00000000">
        <w:rPr>
          <w:sz w:val="16"/>
          <w:szCs w:val="16"/>
          <w:rtl w:val="0"/>
        </w:rPr>
        <w:t xml:space="preserve">Vauthey, Jean‐Nicolas et al. "Body surface area and body weight predict total liver volume in Western adults." </w:t>
      </w:r>
      <w:r w:rsidDel="00000000" w:rsidR="00000000" w:rsidRPr="00000000">
        <w:rPr>
          <w:i w:val="1"/>
          <w:sz w:val="16"/>
          <w:szCs w:val="16"/>
          <w:rtl w:val="0"/>
        </w:rPr>
        <w:t xml:space="preserve">Liver transplantation</w:t>
      </w:r>
      <w:r w:rsidDel="00000000" w:rsidR="00000000" w:rsidRPr="00000000">
        <w:rPr>
          <w:sz w:val="16"/>
          <w:szCs w:val="16"/>
          <w:rtl w:val="0"/>
        </w:rPr>
        <w:t xml:space="preserve"> 8.3 (2002): 233-240.</w:t>
      </w:r>
    </w:p>
    <w:p w:rsidR="00000000" w:rsidDel="00000000" w:rsidP="00000000" w:rsidRDefault="00000000" w:rsidRPr="00000000">
      <w:pPr>
        <w:contextualSpacing w:val="0"/>
      </w:pPr>
      <w:r w:rsidDel="00000000" w:rsidR="00000000" w:rsidRPr="00000000">
        <w:rPr>
          <w:sz w:val="16"/>
          <w:szCs w:val="16"/>
          <w:rtl w:val="0"/>
        </w:rPr>
        <w:t xml:space="preserve">Willmann, Stefan et al. "Development of a physiology-based whole-body population model for assessing the influence of individual variability on the pharmacokinetics of drugs." </w:t>
      </w:r>
      <w:r w:rsidDel="00000000" w:rsidR="00000000" w:rsidRPr="00000000">
        <w:rPr>
          <w:i w:val="1"/>
          <w:sz w:val="16"/>
          <w:szCs w:val="16"/>
          <w:rtl w:val="0"/>
        </w:rPr>
        <w:t xml:space="preserve">Journal of pharmacokinetics and pharmacodynamics</w:t>
      </w:r>
      <w:r w:rsidDel="00000000" w:rsidR="00000000" w:rsidRPr="00000000">
        <w:rPr>
          <w:sz w:val="16"/>
          <w:szCs w:val="16"/>
          <w:rtl w:val="0"/>
        </w:rPr>
        <w:t xml:space="preserve"> 34.3 (2007): 401-431.</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4.png"/><Relationship Id="rId7" Type="http://schemas.openxmlformats.org/officeDocument/2006/relationships/image" Target="media/image05.png"/></Relationships>
</file>