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CT-Perfusion protocols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CT images were aquired using a second-generation dual-source 128-slice CT scanner (Somatom Definition Flash; Siemens Helathcare (SMS)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CTP was performed 10 minutes after standard 3-phase enhanced CT-protocol.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50ml of iopromide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slice sickness of 3mm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VPCT DynMulti 4D 3.0 B20f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SIEMENS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SOMATOM Definition Flash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HFS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634189" cy="3109913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4189" cy="310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437792" cy="2300288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7792" cy="230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/Relationships>
</file>