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3"/>
        <w:spacing w:before="240" w:after="60"/>
        <w:ind w:left="0" w:right="0" w:hanging="0"/>
        <w:rPr/>
      </w:pPr>
      <w:bookmarkStart w:id="0" w:name="_Toc385406405"/>
      <w:r>
        <w:rPr>
          <w:b/>
        </w:rPr>
        <w:t xml:space="preserve">Supplementary </w:t>
      </w:r>
      <w:r>
        <w:rPr>
          <w:rStyle w:val="Heading3Char"/>
          <w:b/>
          <w:bCs/>
          <w:i/>
        </w:rPr>
        <w:t>Table 1</w:t>
      </w:r>
      <w:r>
        <w:rPr/>
        <w:t xml:space="preserve"> </w:t>
      </w:r>
      <w:bookmarkEnd w:id="0"/>
      <w:r>
        <w:rPr/>
        <w:t xml:space="preserve">- Reactions and transporters in human </w:t>
      </w:r>
      <w:r>
        <w:rPr/>
        <w:t xml:space="preserve">caffeine </w:t>
      </w:r>
      <w:r>
        <w:rPr/>
        <w:t>metabolism and kinetic parameters.</w:t>
      </w:r>
    </w:p>
    <w:tbl>
      <w:tblPr>
        <w:jc w:val="left"/>
        <w:tblInd w:w="0" w:type="dxa"/>
        <w:tblBorders>
          <w:top w:val="single" w:sz="4" w:space="0" w:color="00000A"/>
          <w:left w:val="nil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5400"/>
        <w:gridCol w:w="7022"/>
      </w:tblGrid>
      <w:tr>
        <w:trPr>
          <w:cantSplit w:val="false"/>
        </w:trPr>
        <w:tc>
          <w:tcPr>
            <w:tcW w:w="118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D9D9D9" w:val="clear"/>
          </w:tcPr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D9D9D9" w:val="clear"/>
          </w:tcPr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Information</w:t>
            </w:r>
          </w:p>
        </w:tc>
        <w:tc>
          <w:tcPr>
            <w:tcW w:w="7022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D9D9D9" w:val="clear"/>
          </w:tcPr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Kinetics</w:t>
            </w:r>
          </w:p>
        </w:tc>
      </w:tr>
      <w:tr>
        <w:trPr>
          <w:cantSplit w:val="false"/>
        </w:trPr>
        <w:tc>
          <w:tcPr>
            <w:tcW w:w="118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CAFT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Style w:val="Full"/>
                <w:b/>
                <w:color w:val="000000"/>
              </w:rPr>
            </w:pPr>
            <w:r>
              <w:rPr>
                <w:rStyle w:val="Full"/>
                <w:b/>
                <w:color w:val="000000"/>
              </w:rPr>
              <w:t>Caffeine transport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caffeine</w:t>
            </w:r>
            <w:r>
              <w:rPr>
                <w:color w:val="000000"/>
              </w:rPr>
              <w:t xml:space="preserve"> (disse) ↔ </w:t>
            </w:r>
            <w:r>
              <w:rPr>
                <w:color w:val="000000"/>
              </w:rPr>
              <w:t>caffeine</w:t>
            </w:r>
            <w:r>
              <w:rPr>
                <w:color w:val="000000"/>
              </w:rPr>
              <w:t xml:space="preserve"> (cytosol)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Mechanism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TCDB:2.A.1.1 (glucose transporter subfamily)</w:t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Protein/Structure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/>
              <w:t>UniProt:P11168</w:t>
            </w:r>
            <w:r>
              <w:rPr>
                <w:color w:val="000000"/>
              </w:rPr>
              <w:t xml:space="preserve"> (GTR2_HUMAN)</w:t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Gene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SLC2A2, GLUT2</w:t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Disease</w:t>
            </w:r>
          </w:p>
          <w:p>
            <w:pPr>
              <w:pStyle w:val="Normalsmall"/>
              <w:spacing w:lineRule="auto" w:line="240"/>
              <w:rPr>
                <w:color w:val="000000"/>
                <w:lang w:val="de-DE"/>
              </w:rPr>
            </w:pPr>
            <w:r>
              <w:rPr>
                <w:lang w:val="de-DE"/>
              </w:rPr>
              <w:t>OcMIM:227810</w:t>
            </w:r>
            <w:r>
              <w:rPr>
                <w:color w:val="000000"/>
                <w:lang w:val="de-DE"/>
              </w:rPr>
              <w:t xml:space="preserve"> (Fanconi-Bickel syndrome; FBS)</w:t>
            </w:r>
          </w:p>
        </w:tc>
        <w:tc>
          <w:tcPr>
            <w:tcW w:w="7022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  <w:lang w:val="en-US"/>
              </w:rPr>
              <w:t xml:space="preserve">km(D-glc)=21.7 </w:t>
            </w:r>
            <w:r>
              <w:rPr>
                <w:b/>
                <w:color w:val="000000"/>
              </w:rPr>
              <w:t>± 1.8mM</w:t>
            </w:r>
            <w:r>
              <w:rPr>
                <w:color w:val="000000"/>
              </w:rPr>
              <w:t xml:space="preserve"> (rat liver) (</w:t>
            </w:r>
            <w:hyperlink w:anchor="_ENREF_6">
              <w:r>
                <w:rPr>
                  <w:rStyle w:val="InternetLink"/>
                  <w:color w:val="000000"/>
                </w:rPr>
                <w:t>Ciaraldi, et al., 1986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km(D-glc)=66±14mM</w:t>
            </w:r>
            <w:r>
              <w:rPr>
                <w:color w:val="000000"/>
              </w:rPr>
              <w:t xml:space="preserve"> (rat hepatocytes)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km(D-glc)=17mM</w:t>
            </w:r>
            <w:r>
              <w:rPr>
                <w:color w:val="000000"/>
              </w:rPr>
              <w:t xml:space="preserve"> (perfused rat liver, cited)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km(D-glc)=30mM</w:t>
            </w:r>
            <w:r>
              <w:rPr>
                <w:color w:val="000000"/>
              </w:rPr>
              <w:t xml:space="preserve"> (rat hepatocytes, cited)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km(3-O-MG)=42.3±4.1mM (human liver) </w:t>
            </w:r>
            <w:r>
              <w:rPr>
                <w:color w:val="000000"/>
              </w:rPr>
              <w:t>(</w:t>
            </w:r>
            <w:hyperlink w:anchor="_ENREF_17">
              <w:r>
                <w:rPr>
                  <w:rStyle w:val="InternetLink"/>
                  <w:color w:val="000000"/>
                </w:rPr>
                <w:t>Gould, et al., 1991</w:t>
              </w:r>
            </w:hyperlink>
            <w:r>
              <w:rPr>
                <w:color w:val="000000"/>
              </w:rPr>
              <w:t xml:space="preserve">; </w:t>
            </w:r>
            <w:hyperlink w:anchor="_ENREF_43">
              <w:r>
                <w:rPr>
                  <w:rStyle w:val="InternetLink"/>
                  <w:color w:val="000000"/>
                </w:rPr>
                <w:t>Walmsley, et al., 1998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km(3-O-Methyl glc)=17.3 </w:t>
            </w:r>
            <w:r>
              <w:rPr>
                <w:b/>
                <w:color w:val="000000"/>
              </w:rPr>
              <w:t xml:space="preserve">± </w:t>
            </w:r>
            <w:r>
              <w:rPr>
                <w:color w:val="000000"/>
              </w:rPr>
              <w:t>4.3mM (rat liver) (</w:t>
            </w:r>
            <w:hyperlink w:anchor="_ENREF_6">
              <w:r>
                <w:rPr>
                  <w:rStyle w:val="InternetLink"/>
                  <w:color w:val="000000"/>
                </w:rPr>
                <w:t>Ciaraldi, et al., 1986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V</w:t>
            </w:r>
            <w:r>
              <w:rPr>
                <w:b/>
                <w:color w:val="000000"/>
                <w:vertAlign w:val="subscript"/>
              </w:rPr>
              <w:t>max</w:t>
            </w:r>
            <w:r>
              <w:rPr>
                <w:b/>
                <w:color w:val="000000"/>
              </w:rPr>
              <w:t>(D-glc)=220±19</w:t>
            </w:r>
            <w:r>
              <w:rPr>
                <w:color w:val="000000"/>
              </w:rPr>
              <w:t>mmol/min/l of cell H2O (rat hepatocytes)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V</w:t>
            </w:r>
            <w:r>
              <w:rPr>
                <w:b/>
                <w:color w:val="000000"/>
                <w:vertAlign w:val="subscript"/>
              </w:rPr>
              <w:t>max</w:t>
            </w:r>
            <w:r>
              <w:rPr>
                <w:b/>
                <w:color w:val="000000"/>
              </w:rPr>
              <w:t>(D-glc)=345</w:t>
            </w:r>
            <w:r>
              <w:rPr>
                <w:color w:val="000000"/>
              </w:rPr>
              <w:t>mmol/min/l of cell H2O (perfused rat liver, cited)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V</w:t>
            </w:r>
            <w:r>
              <w:rPr>
                <w:b/>
                <w:color w:val="000000"/>
                <w:vertAlign w:val="subscript"/>
              </w:rPr>
              <w:t>max</w:t>
            </w:r>
            <w:r>
              <w:rPr>
                <w:b/>
                <w:color w:val="000000"/>
              </w:rPr>
              <w:t>(D-glc)=70</w:t>
            </w:r>
            <w:r>
              <w:rPr>
                <w:color w:val="000000"/>
              </w:rPr>
              <w:t>mmol/min/l of cell H2O (rat hepatocytes, cited)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km(D-gal)=174±48mM</w:t>
            </w:r>
            <w:r>
              <w:rPr>
                <w:color w:val="000000"/>
              </w:rPr>
              <w:t xml:space="preserve"> (rat hepatocytes)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km(D-gal)=100mM</w:t>
            </w:r>
            <w:r>
              <w:rPr>
                <w:color w:val="000000"/>
              </w:rPr>
              <w:t xml:space="preserve"> (rat hepatocytes, cited)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de-DE"/>
              </w:rPr>
            </w:pPr>
            <w:r>
              <w:rPr>
                <w:b/>
                <w:color w:val="000000"/>
                <w:lang w:val="de-DE"/>
              </w:rPr>
              <w:t>km(D-gal)&gt;50mM</w:t>
            </w:r>
            <w:r>
              <w:rPr>
                <w:color w:val="000000"/>
                <w:lang w:val="de-DE"/>
              </w:rPr>
              <w:t xml:space="preserve"> (GLUT2 enderocytes) (</w:t>
            </w:r>
            <w:hyperlink w:anchor="_ENREF_43">
              <w:r>
                <w:rPr>
                  <w:rStyle w:val="InternetLink"/>
                  <w:color w:val="000000"/>
                  <w:lang w:val="de-DE"/>
                </w:rPr>
                <w:t>Walmsley, et al., 1998</w:t>
              </w:r>
            </w:hyperlink>
            <w:r>
              <w:rPr>
                <w:color w:val="000000"/>
                <w:lang w:val="de-DE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</w:t>
            </w:r>
            <w:r>
              <w:rPr>
                <w:b/>
                <w:color w:val="000000"/>
                <w:lang w:val="en-US"/>
              </w:rPr>
              <w:t>D-</w:t>
            </w:r>
            <w:r>
              <w:rPr>
                <w:b/>
                <w:color w:val="000000"/>
              </w:rPr>
              <w:t>gal)=85.5 ± 10.7mM</w:t>
            </w:r>
            <w:r>
              <w:rPr>
                <w:color w:val="000000"/>
              </w:rPr>
              <w:t xml:space="preserve"> (human, liver-type GLUT2) (</w:t>
            </w:r>
            <w:hyperlink w:anchor="_ENREF_7">
              <w:r>
                <w:rPr>
                  <w:rStyle w:val="InternetLink"/>
                  <w:color w:val="000000"/>
                </w:rPr>
                <w:t>Colville, et al., 1993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km(D-gal)=92 ± 8.4mM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 xml:space="preserve">(human, liver-type GLUT2) </w:t>
            </w:r>
            <w:r>
              <w:rPr>
                <w:color w:val="000000"/>
                <w:lang w:val="en-US"/>
              </w:rPr>
              <w:t>(</w:t>
            </w:r>
            <w:hyperlink w:anchor="_ENREF_2">
              <w:r>
                <w:rPr>
                  <w:rStyle w:val="InternetLink"/>
                  <w:color w:val="000000"/>
                  <w:lang w:val="en-US"/>
                </w:rPr>
                <w:t>Arbuckle, et al., 1996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km(D-gal)~27.7mM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(dog liver, multiple indicator dilution curves (</w:t>
            </w:r>
            <w:hyperlink w:anchor="_ENREF_16">
              <w:r>
                <w:rPr>
                  <w:rStyle w:val="InternetLink"/>
                  <w:color w:val="000000"/>
                </w:rPr>
                <w:t>Goresky, et al., 1973</w:t>
              </w:r>
            </w:hyperlink>
            <w:r>
              <w:rPr>
                <w:color w:val="000000"/>
              </w:rPr>
              <w:t>)</w:t>
            </w:r>
            <w:r>
              <w:rPr>
                <w:color w:val="000000"/>
                <w:lang w:val="en-US"/>
              </w:rPr>
              <w:t xml:space="preserve"> 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V</w:t>
            </w:r>
            <w:r>
              <w:rPr>
                <w:b/>
                <w:color w:val="000000"/>
                <w:vertAlign w:val="subscript"/>
              </w:rPr>
              <w:t>max</w:t>
            </w:r>
            <w:r>
              <w:rPr>
                <w:b/>
                <w:color w:val="000000"/>
              </w:rPr>
              <w:t xml:space="preserve"> (D-gal)=288±48</w:t>
            </w:r>
            <w:r>
              <w:rPr>
                <w:color w:val="000000"/>
              </w:rPr>
              <w:t xml:space="preserve"> mmol/min/l of cell H2O (rat hepatocytes)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V</w:t>
            </w:r>
            <w:r>
              <w:rPr>
                <w:b/>
                <w:color w:val="000000"/>
                <w:vertAlign w:val="subscript"/>
              </w:rPr>
              <w:t>max</w:t>
            </w:r>
            <w:r>
              <w:rPr>
                <w:b/>
                <w:color w:val="000000"/>
              </w:rPr>
              <w:t xml:space="preserve"> (D-gal)=160</w:t>
            </w:r>
            <w:r>
              <w:rPr>
                <w:color w:val="000000"/>
              </w:rPr>
              <w:t>mmol/min/l of cell H2O (rat hepatocytes, cited)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</w:tc>
      </w:tr>
      <w:tr>
        <w:trPr>
          <w:cantSplit w:val="false"/>
        </w:trPr>
        <w:tc>
          <w:tcPr>
            <w:tcW w:w="118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GALK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Galactokinase</w:t>
            </w:r>
          </w:p>
          <w:p>
            <w:pPr>
              <w:pStyle w:val="Normalsmall"/>
              <w:spacing w:lineRule="auto" w:line="240"/>
              <w:rPr/>
            </w:pPr>
            <w:r>
              <w:rPr>
                <w:color w:val="000000"/>
              </w:rPr>
              <w:t>1,7-dimethylxanthine</w:t>
            </w:r>
            <w:r>
              <w:rPr>
                <w:color w:val="000000"/>
              </w:rPr>
              <w:t xml:space="preserve"> + </w:t>
            </w:r>
            <w:r>
              <w:rPr>
                <w:color w:val="000000"/>
              </w:rPr>
              <w:t>S-adenosyl-L-methionine</w:t>
            </w:r>
            <w:r>
              <w:rPr>
                <w:color w:val="000000"/>
              </w:rPr>
              <w:t xml:space="preserve"> ↔ </w:t>
            </w:r>
            <w:r>
              <w:rPr/>
              <w:t>S-adenosyl-L-homocysteine + caffeine + H(+)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Reaction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EC:2.</w:t>
            </w:r>
            <w:r>
              <w:rPr>
                <w:b w:val="false"/>
                <w:color w:val="000000"/>
              </w:rPr>
              <w:t>1.1.160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RHEA:1</w:t>
            </w:r>
            <w:r>
              <w:rPr/>
              <w:t>0283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KEGG:R0</w:t>
            </w:r>
            <w:r>
              <w:rPr/>
              <w:t>7921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MetaCyc:</w:t>
            </w:r>
            <w:r>
              <w:rPr>
                <w:color w:val="000000"/>
              </w:rPr>
              <w:t>RXN-7601</w:t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Protein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hyperlink r:id="rId2">
              <w:r>
                <w:rPr>
                  <w:rStyle w:val="InternetLink"/>
                  <w:color w:val="000000"/>
                </w:rPr>
                <w:t>UniProt:P51570 </w:t>
              </w:r>
            </w:hyperlink>
            <w:r>
              <w:rPr>
                <w:color w:val="000000"/>
              </w:rPr>
              <w:t>(GALK1_HUMAN)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homodimer P51570*2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Gene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GALK, GALK1</w:t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Disease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hyperlink r:id="rId3">
              <w:r>
                <w:rPr>
                  <w:rStyle w:val="InternetLink"/>
                  <w:color w:val="000000"/>
                </w:rPr>
                <w:t>MIM:230200</w:t>
              </w:r>
            </w:hyperlink>
            <w:r>
              <w:rPr>
                <w:color w:val="000000"/>
              </w:rPr>
              <w:t xml:space="preserve"> (GALCT2 Galactosemia II)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Galactokinase being rate limiting for galactose clearance (</w:t>
            </w:r>
            <w:hyperlink w:anchor="_ENREF_34">
              <w:r>
                <w:rPr>
                  <w:rStyle w:val="InternetLink"/>
                  <w:color w:val="000000"/>
                </w:rPr>
                <w:t>Schirmer, et al., 1986</w:t>
              </w:r>
            </w:hyperlink>
            <w:r>
              <w:rPr>
                <w:color w:val="000000"/>
              </w:rPr>
              <w:t>)</w:t>
            </w:r>
          </w:p>
        </w:tc>
        <w:tc>
          <w:tcPr>
            <w:tcW w:w="7022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Two-substrate ordered, ternary complex reaction</w:t>
            </w:r>
            <w:r>
              <w:rPr>
                <w:color w:val="000000"/>
              </w:rPr>
              <w:t xml:space="preserve"> (</w:t>
            </w:r>
            <w:hyperlink w:anchor="_ENREF_41">
              <w:r>
                <w:rPr>
                  <w:rStyle w:val="InternetLink"/>
                  <w:color w:val="000000"/>
                </w:rPr>
                <w:t>Timson and Reece, 2003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kcat(gal) = 8.7±5 1/s</w:t>
            </w:r>
            <w:r>
              <w:rPr>
                <w:color w:val="000000"/>
              </w:rPr>
              <w:t xml:space="preserve"> (SABIORK:14785)(</w:t>
            </w:r>
            <w:hyperlink w:anchor="_ENREF_41">
              <w:r>
                <w:rPr>
                  <w:rStyle w:val="InternetLink"/>
                  <w:color w:val="000000"/>
                </w:rPr>
                <w:t>Timson and Reece, 2003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km(atp) = 0.034±0.004mM</w:t>
            </w:r>
            <w:r>
              <w:rPr>
                <w:color w:val="000000"/>
              </w:rPr>
              <w:t xml:space="preserve"> (SABIORK:14792)(</w:t>
            </w:r>
            <w:hyperlink w:anchor="_ENREF_41">
              <w:r>
                <w:rPr>
                  <w:rStyle w:val="InternetLink"/>
                  <w:color w:val="000000"/>
                </w:rPr>
                <w:t>Timson and Reece, 2003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</w:rPr>
              <w:t>km(atp) = 0.12mM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(adult, rat liver){Cuatrecasas1965}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km(gal)=0.97±0.22mM</w:t>
            </w:r>
            <w:r>
              <w:rPr>
                <w:color w:val="000000"/>
              </w:rPr>
              <w:t xml:space="preserve"> (SABIORK:14785) (</w:t>
            </w:r>
            <w:hyperlink w:anchor="_ENREF_41">
              <w:r>
                <w:rPr>
                  <w:rStyle w:val="InternetLink"/>
                  <w:color w:val="000000"/>
                </w:rPr>
                <w:t>Timson and Reece, 2003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km(gal) = 0.436mM</w:t>
            </w:r>
            <w:r>
              <w:rPr>
                <w:color w:val="000000"/>
              </w:rPr>
              <w:t xml:space="preserve"> (SABIORK:45367), (</w:t>
            </w:r>
            <w:hyperlink w:anchor="_ENREF_33">
              <w:r>
                <w:rPr>
                  <w:rStyle w:val="InternetLink"/>
                  <w:color w:val="000000"/>
                </w:rPr>
                <w:t>Sangiuolo, et al., 2004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km(gal) = 0.15mM</w:t>
            </w:r>
            <w:r>
              <w:rPr>
                <w:color w:val="000000"/>
                <w:lang w:val="en-US"/>
              </w:rPr>
              <w:t xml:space="preserve"> (adult, rat liver){Cuatrecasas1965}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km(gal) = 0.65mM (newborn, rat liver){Cuatrecasas1965}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km(gal) = 0.91mM (18 day fetal, rat liver){Cuatrecasas1965}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km(gal) = 0.14±0.01mM </w:t>
            </w:r>
            <w:r>
              <w:rPr>
                <w:color w:val="000000"/>
                <w:lang w:val="en-US"/>
              </w:rPr>
              <w:t>(SEM, N=6, adult rat liver) {Walker1968}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km(gal) = 0.15±0.01mM (SEM, N=4, neonatal rat liver) {Walker1968}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km(gal) = 0.14±0.01mM (SEM, N=4, foetal rat liver) {Walker1968}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Uncompetitive product inhibition </w:t>
            </w:r>
            <w:r>
              <w:rPr>
                <w:color w:val="000000"/>
              </w:rPr>
              <w:t>of GALK (adult rat liver) by gal1p with both 1mM and 5mM gal1p altering the Km for galactose from 0.150mM to 0.800mM (1mM gal1p caused 15% inhibition, 5mM gal1p 50% inhibition)</w:t>
            </w:r>
            <w:r>
              <w:rPr>
                <w:b/>
                <w:color w:val="000000"/>
              </w:rPr>
              <w:t xml:space="preserve"> 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ki(gal1p) = 5.3mM (5.0-5.7mM)</w:t>
            </w:r>
            <w:r>
              <w:rPr>
                <w:color w:val="000000"/>
              </w:rPr>
              <w:t xml:space="preserve"> (adult rat liver) (</w:t>
            </w:r>
            <w:hyperlink w:anchor="_ENREF_10">
              <w:r>
                <w:rPr>
                  <w:rStyle w:val="InternetLink"/>
                  <w:color w:val="000000"/>
                </w:rPr>
                <w:t>Cuatrecasas and Segal, 1965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km(gal)&lt;0.83mM</w:t>
            </w:r>
            <w:r>
              <w:rPr>
                <w:color w:val="000000"/>
              </w:rPr>
              <w:t xml:space="preserve"> (dog liver, multiple indicator dilution curves) (</w:t>
            </w:r>
            <w:hyperlink w:anchor="_ENREF_16">
              <w:r>
                <w:rPr>
                  <w:rStyle w:val="InternetLink"/>
                  <w:color w:val="000000"/>
                </w:rPr>
                <w:t>Goresky, et al., 1973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>
          <w:b/>
          <w:bCs/>
        </w:rPr>
      </w:pPr>
      <w:r>
        <w:rPr>
          <w:b/>
          <w:bCs/>
        </w:rPr>
        <w:t>REFERENCES</w:t>
      </w:r>
    </w:p>
    <w:p>
      <w:pPr>
        <w:pStyle w:val="Normal"/>
        <w:spacing w:lineRule="auto" w:line="240"/>
        <w:rPr/>
      </w:pPr>
      <w:bookmarkStart w:id="1" w:name="_ENREF_1"/>
      <w:r>
        <w:rPr/>
        <w:t>Accorsi, A.</w:t>
      </w:r>
      <w:r>
        <w:rPr>
          <w:i/>
        </w:rPr>
        <w:t>, et al.</w:t>
      </w:r>
      <w:r>
        <w:rPr/>
        <w:t xml:space="preserve"> (1989) Isoenzymes of phosphoglucomutase from human red blood cells: isolation and kinetic properties, </w:t>
      </w:r>
      <w:r>
        <w:rPr>
          <w:i/>
        </w:rPr>
        <w:t>Preparative biochemistry</w:t>
      </w:r>
      <w:r>
        <w:rPr/>
        <w:t xml:space="preserve">, </w:t>
      </w:r>
      <w:r>
        <w:rPr>
          <w:b/>
        </w:rPr>
        <w:t>19</w:t>
      </w:r>
      <w:bookmarkEnd w:id="1"/>
      <w:r>
        <w:rPr/>
        <w:t>, 251-271.</w:t>
      </w:r>
    </w:p>
    <w:p>
      <w:pPr>
        <w:pStyle w:val="Normal"/>
        <w:spacing w:lineRule="auto" w:line="240"/>
        <w:rPr/>
      </w:pPr>
      <w:bookmarkStart w:id="2" w:name="_ENREF_2"/>
      <w:r>
        <w:rPr>
          <w:lang w:val="de-DE"/>
        </w:rPr>
        <w:t>Arbuckle, M.I.</w:t>
      </w:r>
      <w:r>
        <w:rPr>
          <w:i/>
          <w:lang w:val="de-DE"/>
        </w:rPr>
        <w:t>, et al.</w:t>
      </w:r>
      <w:r>
        <w:rPr>
          <w:lang w:val="de-DE"/>
        </w:rPr>
        <w:t xml:space="preserve"> </w:t>
      </w:r>
      <w:r>
        <w:rPr/>
        <w:t xml:space="preserve">(1996) Structure-function analysis of liver-type (GLUT2) and brain-type (GLUT3) glucose transporters: expression of chimeric transporters in Xenopus oocytes suggests an important role for putative transmembrane helix 7 in determining substrate selectivity, </w:t>
      </w:r>
      <w:r>
        <w:rPr>
          <w:i/>
        </w:rPr>
        <w:t>Biochemistry</w:t>
      </w:r>
      <w:r>
        <w:rPr/>
        <w:t xml:space="preserve">, </w:t>
      </w:r>
      <w:r>
        <w:rPr>
          <w:b/>
        </w:rPr>
        <w:t>35</w:t>
      </w:r>
      <w:bookmarkEnd w:id="2"/>
      <w:r>
        <w:rPr/>
        <w:t>, 16519-16527.</w:t>
      </w:r>
    </w:p>
    <w:p>
      <w:pPr>
        <w:pStyle w:val="Normal"/>
        <w:spacing w:lineRule="auto" w:line="240"/>
        <w:rPr/>
      </w:pPr>
      <w:bookmarkStart w:id="3" w:name="_ENREF_3"/>
      <w:r>
        <w:rPr/>
        <w:t xml:space="preserve">Bautista, J.M., Mason, P.J. and Luzzatto, L. (1992) Purification and properties of human glucose-6-phosphate dehydrogenase made in E. coli, </w:t>
      </w:r>
      <w:r>
        <w:rPr>
          <w:i/>
        </w:rPr>
        <w:t>Biochimica et biophysica acta</w:t>
      </w:r>
      <w:r>
        <w:rPr/>
        <w:t xml:space="preserve">, </w:t>
      </w:r>
      <w:r>
        <w:rPr>
          <w:b/>
        </w:rPr>
        <w:t>1119</w:t>
      </w:r>
      <w:bookmarkEnd w:id="3"/>
      <w:r>
        <w:rPr/>
        <w:t>, 74-80.</w:t>
      </w:r>
    </w:p>
    <w:p>
      <w:pPr>
        <w:pStyle w:val="Normal"/>
        <w:spacing w:lineRule="auto" w:line="240"/>
        <w:rPr/>
      </w:pPr>
      <w:bookmarkStart w:id="4" w:name="_ENREF_4"/>
      <w:r>
        <w:rPr/>
        <w:t xml:space="preserve">Brown, G.K. (2000) Glucose transporters: structure, function and consequences of deficiency, </w:t>
      </w:r>
      <w:r>
        <w:rPr>
          <w:i/>
        </w:rPr>
        <w:t>Journal of inherited metabolic disease</w:t>
      </w:r>
      <w:r>
        <w:rPr/>
        <w:t xml:space="preserve">, </w:t>
      </w:r>
      <w:r>
        <w:rPr>
          <w:b/>
        </w:rPr>
        <w:t>23</w:t>
      </w:r>
      <w:bookmarkEnd w:id="4"/>
      <w:r>
        <w:rPr/>
        <w:t>, 237-246.</w:t>
      </w:r>
    </w:p>
    <w:p>
      <w:pPr>
        <w:pStyle w:val="Normal"/>
        <w:spacing w:lineRule="auto" w:line="240"/>
        <w:rPr/>
      </w:pPr>
      <w:bookmarkStart w:id="5" w:name="_ENREF_5"/>
      <w:r>
        <w:rPr/>
        <w:t>Chang, H.Y.</w:t>
      </w:r>
      <w:r>
        <w:rPr>
          <w:i/>
        </w:rPr>
        <w:t>, et al.</w:t>
      </w:r>
      <w:r>
        <w:rPr/>
        <w:t xml:space="preserve"> (1996) The importance of conserved residues in human liver UDPglucose pyrophosphorylase, </w:t>
      </w:r>
      <w:r>
        <w:rPr>
          <w:i/>
        </w:rPr>
        <w:t>European journal of biochemistry / FEBS</w:t>
      </w:r>
      <w:r>
        <w:rPr/>
        <w:t xml:space="preserve">, </w:t>
      </w:r>
      <w:r>
        <w:rPr>
          <w:b/>
        </w:rPr>
        <w:t>236</w:t>
      </w:r>
      <w:bookmarkEnd w:id="5"/>
      <w:r>
        <w:rPr/>
        <w:t>, 723-728.</w:t>
      </w:r>
    </w:p>
    <w:p>
      <w:pPr>
        <w:pStyle w:val="Normal"/>
        <w:spacing w:lineRule="auto" w:line="240"/>
        <w:rPr/>
      </w:pPr>
      <w:bookmarkStart w:id="6" w:name="_ENREF_6"/>
      <w:r>
        <w:rPr/>
        <w:t xml:space="preserve">Ciaraldi, T.P., Horuk, R. and Matthaei, S. (1986) Biochemical and functional characterization of the rat liver glucose-transport system. Comparisons with the adipocyte glucose-transport system, </w:t>
      </w:r>
      <w:r>
        <w:rPr>
          <w:i/>
        </w:rPr>
        <w:t>The Biochemical journal</w:t>
      </w:r>
      <w:r>
        <w:rPr/>
        <w:t xml:space="preserve">, </w:t>
      </w:r>
      <w:r>
        <w:rPr>
          <w:b/>
        </w:rPr>
        <w:t>240</w:t>
      </w:r>
      <w:bookmarkEnd w:id="6"/>
      <w:r>
        <w:rPr/>
        <w:t>, 115-123.</w:t>
      </w:r>
    </w:p>
    <w:p>
      <w:pPr>
        <w:pStyle w:val="Normal"/>
        <w:spacing w:lineRule="auto" w:line="240"/>
        <w:rPr/>
      </w:pPr>
      <w:bookmarkStart w:id="7" w:name="_ENREF_7"/>
      <w:r>
        <w:rPr/>
        <w:t>Colville, C.A.</w:t>
      </w:r>
      <w:r>
        <w:rPr>
          <w:i/>
        </w:rPr>
        <w:t>, et al.</w:t>
      </w:r>
      <w:r>
        <w:rPr/>
        <w:t xml:space="preserve"> (1993) Kinetic analysis of the liver-type (GLUT2) and brain-type (GLUT3) glucose transporters in Xenopus oocytes: substrate specificities and effects of transport inhibitors, </w:t>
      </w:r>
      <w:r>
        <w:rPr>
          <w:i/>
        </w:rPr>
        <w:t>The Biochemical journal</w:t>
      </w:r>
      <w:r>
        <w:rPr/>
        <w:t xml:space="preserve">, </w:t>
      </w:r>
      <w:r>
        <w:rPr>
          <w:b/>
        </w:rPr>
        <w:t>290 ( Pt 3)</w:t>
      </w:r>
      <w:bookmarkEnd w:id="7"/>
      <w:r>
        <w:rPr/>
        <w:t>, 701-706.</w:t>
      </w:r>
    </w:p>
    <w:p>
      <w:pPr>
        <w:pStyle w:val="Normal"/>
        <w:spacing w:lineRule="auto" w:line="240"/>
        <w:rPr/>
      </w:pPr>
      <w:bookmarkStart w:id="8" w:name="_ENREF_8"/>
      <w:r>
        <w:rPr/>
        <w:t>Corpas, F.J.</w:t>
      </w:r>
      <w:r>
        <w:rPr>
          <w:i/>
        </w:rPr>
        <w:t>, et al.</w:t>
      </w:r>
      <w:r>
        <w:rPr/>
        <w:t xml:space="preserve"> (1995) Kinetic properties of hexose-monophosphate dehydrogenases. II. Isolation and partial purification of 6-phosphogluconate dehydrogenase from rat liver and kidney cortex, </w:t>
      </w:r>
      <w:r>
        <w:rPr>
          <w:i/>
        </w:rPr>
        <w:t>Molecular and cellular biochemistry</w:t>
      </w:r>
      <w:r>
        <w:rPr/>
        <w:t xml:space="preserve">, </w:t>
      </w:r>
      <w:r>
        <w:rPr>
          <w:b/>
        </w:rPr>
        <w:t>144</w:t>
      </w:r>
      <w:bookmarkEnd w:id="8"/>
      <w:r>
        <w:rPr/>
        <w:t>, 97-104.</w:t>
      </w:r>
    </w:p>
    <w:p>
      <w:pPr>
        <w:pStyle w:val="Normal"/>
        <w:spacing w:lineRule="auto" w:line="240"/>
        <w:rPr/>
      </w:pPr>
      <w:bookmarkStart w:id="9" w:name="_ENREF_9"/>
      <w:r>
        <w:rPr/>
        <w:t>Corpas, F.J.</w:t>
      </w:r>
      <w:r>
        <w:rPr>
          <w:i/>
        </w:rPr>
        <w:t>, et al.</w:t>
      </w:r>
      <w:r>
        <w:rPr/>
        <w:t xml:space="preserve"> (1995) Kinetic properties of hexose-monophosphate dehydrogenases. I. Isolation and partial purification of glucose-6-phosphate dehydrogenase from rat liver and kidney cortex, </w:t>
      </w:r>
      <w:r>
        <w:rPr>
          <w:i/>
        </w:rPr>
        <w:t>Life sciences</w:t>
      </w:r>
      <w:r>
        <w:rPr/>
        <w:t xml:space="preserve">, </w:t>
      </w:r>
      <w:r>
        <w:rPr>
          <w:b/>
        </w:rPr>
        <w:t>56</w:t>
      </w:r>
      <w:bookmarkEnd w:id="9"/>
      <w:r>
        <w:rPr/>
        <w:t>, 179-189.</w:t>
      </w:r>
    </w:p>
    <w:p>
      <w:pPr>
        <w:pStyle w:val="Normal"/>
        <w:spacing w:lineRule="auto" w:line="240"/>
        <w:rPr/>
      </w:pPr>
      <w:bookmarkStart w:id="10" w:name="_ENREF_10"/>
      <w:r>
        <w:rPr/>
        <w:t xml:space="preserve">Cuatrecasas, P. and Segal, S. (1965) Mammalian Galactokinase. Developmental and Adaptive Characteristics in the Rat Liver, </w:t>
      </w:r>
      <w:r>
        <w:rPr>
          <w:i/>
        </w:rPr>
        <w:t>The Journal of biological chemistry</w:t>
      </w:r>
      <w:r>
        <w:rPr/>
        <w:t xml:space="preserve">, </w:t>
      </w:r>
      <w:r>
        <w:rPr>
          <w:b/>
        </w:rPr>
        <w:t>240</w:t>
      </w:r>
      <w:bookmarkEnd w:id="10"/>
      <w:r>
        <w:rPr/>
        <w:t>, 2382-2388.</w:t>
      </w:r>
    </w:p>
    <w:p>
      <w:pPr>
        <w:pStyle w:val="Normal"/>
        <w:spacing w:lineRule="auto" w:line="240"/>
        <w:rPr/>
      </w:pPr>
      <w:bookmarkStart w:id="11" w:name="_ENREF_11"/>
      <w:r>
        <w:rPr/>
        <w:t>Duggleby, R.G.</w:t>
      </w:r>
      <w:r>
        <w:rPr>
          <w:i/>
        </w:rPr>
        <w:t>, et al.</w:t>
      </w:r>
      <w:r>
        <w:rPr/>
        <w:t xml:space="preserve"> (1996) Sequence differences between human muscle and liver cDNAs for UDPglucose pyrophosphorylase and kinetic properties of the recombinant enzymes expressed in Escherichia coli, </w:t>
      </w:r>
      <w:r>
        <w:rPr>
          <w:i/>
        </w:rPr>
        <w:t>European journal of biochemistry / FEBS</w:t>
      </w:r>
      <w:r>
        <w:rPr/>
        <w:t xml:space="preserve">, </w:t>
      </w:r>
      <w:r>
        <w:rPr>
          <w:b/>
        </w:rPr>
        <w:t>235</w:t>
      </w:r>
      <w:bookmarkEnd w:id="11"/>
      <w:r>
        <w:rPr/>
        <w:t>, 173-179.</w:t>
      </w:r>
    </w:p>
    <w:p>
      <w:pPr>
        <w:pStyle w:val="Normal"/>
        <w:spacing w:lineRule="auto" w:line="240"/>
        <w:rPr/>
      </w:pPr>
      <w:bookmarkStart w:id="12" w:name="_ENREF_12"/>
      <w:r>
        <w:rPr/>
        <w:t xml:space="preserve">Elliott, K.R. and Craik, J.D. (1982) Sugar transport across the hepatocyte plasma membrane, </w:t>
      </w:r>
      <w:r>
        <w:rPr>
          <w:i/>
        </w:rPr>
        <w:t>Biochemical Society transactions</w:t>
      </w:r>
      <w:r>
        <w:rPr/>
        <w:t xml:space="preserve">, </w:t>
      </w:r>
      <w:r>
        <w:rPr>
          <w:b/>
        </w:rPr>
        <w:t>10</w:t>
      </w:r>
      <w:bookmarkEnd w:id="12"/>
      <w:r>
        <w:rPr/>
        <w:t>, 12-13.</w:t>
      </w:r>
    </w:p>
    <w:p>
      <w:pPr>
        <w:pStyle w:val="Normal"/>
        <w:spacing w:lineRule="auto" w:line="240"/>
        <w:rPr/>
      </w:pPr>
      <w:bookmarkStart w:id="13" w:name="_ENREF_13"/>
      <w:r>
        <w:rPr/>
        <w:t xml:space="preserve">Facchiano, A. and Marabotti, A. (2010) Analysis of galactosemia-linked mutations of GALT enzyme using a computational biology approach, </w:t>
      </w:r>
      <w:r>
        <w:rPr>
          <w:i/>
        </w:rPr>
        <w:t>Protein engineering, design &amp; selection : PEDS</w:t>
      </w:r>
      <w:r>
        <w:rPr/>
        <w:t xml:space="preserve">, </w:t>
      </w:r>
      <w:r>
        <w:rPr>
          <w:b/>
        </w:rPr>
        <w:t>23</w:t>
      </w:r>
      <w:bookmarkEnd w:id="13"/>
      <w:r>
        <w:rPr/>
        <w:t>, 103-113.</w:t>
      </w:r>
    </w:p>
    <w:p>
      <w:pPr>
        <w:pStyle w:val="Normal"/>
        <w:spacing w:lineRule="auto" w:line="240"/>
        <w:rPr/>
      </w:pPr>
      <w:bookmarkStart w:id="14" w:name="_ENREF_14"/>
      <w:r>
        <w:rPr/>
        <w:t>Fukuchi, T.</w:t>
      </w:r>
      <w:r>
        <w:rPr>
          <w:i/>
        </w:rPr>
        <w:t>, et al.</w:t>
      </w:r>
      <w:r>
        <w:rPr/>
        <w:t xml:space="preserve"> (1994) Recombinant rat nucleoside diphosphate kinase isoforms (alpha and beta): purification, properties and application to immunological detection of native isoforms in rat tissues, </w:t>
      </w:r>
      <w:r>
        <w:rPr>
          <w:i/>
        </w:rPr>
        <w:t>Biochimica et biophysica acta</w:t>
      </w:r>
      <w:r>
        <w:rPr/>
        <w:t xml:space="preserve">, </w:t>
      </w:r>
      <w:r>
        <w:rPr>
          <w:b/>
        </w:rPr>
        <w:t>1205</w:t>
      </w:r>
      <w:bookmarkEnd w:id="14"/>
      <w:r>
        <w:rPr/>
        <w:t>, 113-122.</w:t>
      </w:r>
    </w:p>
    <w:p>
      <w:pPr>
        <w:pStyle w:val="Normal"/>
        <w:spacing w:lineRule="auto" w:line="240"/>
        <w:rPr/>
      </w:pPr>
      <w:bookmarkStart w:id="15" w:name="_ENREF_15"/>
      <w:r>
        <w:rPr/>
        <w:t xml:space="preserve">Geeganage, S. and Frey, P.A. (1998) Transient kinetics of formation and reaction of the uridylyl-enzyme form of galactose-1-P uridylyltransferase and its Q168R-variant: insight into the molecular basis of galactosemia, </w:t>
      </w:r>
      <w:r>
        <w:rPr>
          <w:i/>
        </w:rPr>
        <w:t>Biochemistry</w:t>
      </w:r>
      <w:r>
        <w:rPr/>
        <w:t xml:space="preserve">, </w:t>
      </w:r>
      <w:r>
        <w:rPr>
          <w:b/>
        </w:rPr>
        <w:t>37</w:t>
      </w:r>
      <w:bookmarkEnd w:id="15"/>
      <w:r>
        <w:rPr/>
        <w:t>, 14500-14507.</w:t>
      </w:r>
    </w:p>
    <w:p>
      <w:pPr>
        <w:pStyle w:val="Normal"/>
        <w:spacing w:lineRule="auto" w:line="240"/>
        <w:rPr/>
      </w:pPr>
      <w:bookmarkStart w:id="16" w:name="_ENREF_16"/>
      <w:r>
        <w:rPr/>
        <w:t xml:space="preserve">Goresky, C.A., Bach, G.G. and Nadeau, B.E. (1973) On the uptake of materials by the intact liver. The transport and net removal of galactose, </w:t>
      </w:r>
      <w:r>
        <w:rPr>
          <w:i/>
        </w:rPr>
        <w:t>The Journal of clinical investigation</w:t>
      </w:r>
      <w:r>
        <w:rPr/>
        <w:t xml:space="preserve">, </w:t>
      </w:r>
      <w:r>
        <w:rPr>
          <w:b/>
        </w:rPr>
        <w:t>52</w:t>
      </w:r>
      <w:bookmarkEnd w:id="16"/>
      <w:r>
        <w:rPr/>
        <w:t>, 991-1009.</w:t>
      </w:r>
    </w:p>
    <w:p>
      <w:pPr>
        <w:pStyle w:val="Normal"/>
        <w:spacing w:lineRule="auto" w:line="240"/>
        <w:rPr/>
      </w:pPr>
      <w:bookmarkStart w:id="17" w:name="_ENREF_17"/>
      <w:r>
        <w:rPr/>
        <w:t>Gould, G.W.</w:t>
      </w:r>
      <w:r>
        <w:rPr>
          <w:i/>
        </w:rPr>
        <w:t>, et al.</w:t>
      </w:r>
      <w:r>
        <w:rPr/>
        <w:t xml:space="preserve"> (1991) Expression of human glucose transporters in Xenopus oocytes: kinetic characterization and substrate specificities of the erythrocyte, liver, and brain isoforms, </w:t>
      </w:r>
      <w:r>
        <w:rPr>
          <w:i/>
        </w:rPr>
        <w:t>Biochemistry</w:t>
      </w:r>
      <w:r>
        <w:rPr/>
        <w:t xml:space="preserve">, </w:t>
      </w:r>
      <w:r>
        <w:rPr>
          <w:b/>
        </w:rPr>
        <w:t>30</w:t>
      </w:r>
      <w:bookmarkEnd w:id="17"/>
      <w:r>
        <w:rPr/>
        <w:t>, 5139-5145.</w:t>
      </w:r>
    </w:p>
    <w:p>
      <w:pPr>
        <w:pStyle w:val="Normal"/>
        <w:spacing w:lineRule="auto" w:line="240"/>
        <w:rPr/>
      </w:pPr>
      <w:bookmarkStart w:id="18" w:name="_ENREF_18"/>
      <w:r>
        <w:rPr/>
        <w:t>Guynn, R.W.</w:t>
      </w:r>
      <w:r>
        <w:rPr>
          <w:i/>
        </w:rPr>
        <w:t>, et al.</w:t>
      </w:r>
      <w:r>
        <w:rPr/>
        <w:t xml:space="preserve"> (1974) The concentration and control of cytoplasmic free inorganic pyrophosphate in rat liver in vivo, </w:t>
      </w:r>
      <w:r>
        <w:rPr>
          <w:i/>
        </w:rPr>
        <w:t>The Biochemical journal</w:t>
      </w:r>
      <w:r>
        <w:rPr/>
        <w:t xml:space="preserve">, </w:t>
      </w:r>
      <w:r>
        <w:rPr>
          <w:b/>
        </w:rPr>
        <w:t>140</w:t>
      </w:r>
      <w:bookmarkEnd w:id="18"/>
      <w:r>
        <w:rPr/>
        <w:t>, 369-375.</w:t>
      </w:r>
    </w:p>
    <w:p>
      <w:pPr>
        <w:pStyle w:val="Normal"/>
        <w:spacing w:lineRule="auto" w:line="240"/>
        <w:rPr/>
      </w:pPr>
      <w:bookmarkStart w:id="19" w:name="_ENREF_19"/>
      <w:r>
        <w:rPr/>
        <w:t>Irie, M.</w:t>
      </w:r>
      <w:r>
        <w:rPr>
          <w:i/>
        </w:rPr>
        <w:t>, et al.</w:t>
      </w:r>
      <w:r>
        <w:rPr/>
        <w:t xml:space="preserve"> (1970) Distribution and properties of alkaline pyrophosphatases of rat liver, </w:t>
      </w:r>
      <w:r>
        <w:rPr>
          <w:i/>
        </w:rPr>
        <w:t>Journal of biochemistry</w:t>
      </w:r>
      <w:r>
        <w:rPr/>
        <w:t xml:space="preserve">, </w:t>
      </w:r>
      <w:r>
        <w:rPr>
          <w:b/>
        </w:rPr>
        <w:t>67</w:t>
      </w:r>
      <w:bookmarkEnd w:id="19"/>
      <w:r>
        <w:rPr/>
        <w:t>, 47-58.</w:t>
      </w:r>
    </w:p>
    <w:p>
      <w:pPr>
        <w:pStyle w:val="Normal"/>
        <w:spacing w:lineRule="auto" w:line="240"/>
        <w:rPr/>
      </w:pPr>
      <w:bookmarkStart w:id="20" w:name="_ENREF_20"/>
      <w:r>
        <w:rPr/>
        <w:t>Kashiwaya, Y.</w:t>
      </w:r>
      <w:r>
        <w:rPr>
          <w:i/>
        </w:rPr>
        <w:t>, et al.</w:t>
      </w:r>
      <w:r>
        <w:rPr/>
        <w:t xml:space="preserve"> (1994) Control of glucose utilization in working perfused rat heart, </w:t>
      </w:r>
      <w:r>
        <w:rPr>
          <w:i/>
        </w:rPr>
        <w:t>The Journal of biological chemistry</w:t>
      </w:r>
      <w:r>
        <w:rPr/>
        <w:t xml:space="preserve">, </w:t>
      </w:r>
      <w:r>
        <w:rPr>
          <w:b/>
        </w:rPr>
        <w:t>269</w:t>
      </w:r>
      <w:bookmarkEnd w:id="20"/>
      <w:r>
        <w:rPr/>
        <w:t>, 25502-25514.</w:t>
      </w:r>
    </w:p>
    <w:p>
      <w:pPr>
        <w:pStyle w:val="Normal"/>
        <w:spacing w:lineRule="auto" w:line="240"/>
        <w:rPr/>
      </w:pPr>
      <w:bookmarkStart w:id="21" w:name="_ENREF_21"/>
      <w:r>
        <w:rPr/>
        <w:t xml:space="preserve">Keppler, D., Rudigier, J. and Decker, K. (1970) Trapping of uridine phosphates by D-galactose in ethanol-treated liver, </w:t>
      </w:r>
      <w:r>
        <w:rPr>
          <w:i/>
        </w:rPr>
        <w:t>FEBS letters</w:t>
      </w:r>
      <w:r>
        <w:rPr/>
        <w:t xml:space="preserve">, </w:t>
      </w:r>
      <w:r>
        <w:rPr>
          <w:b/>
        </w:rPr>
        <w:t>11</w:t>
      </w:r>
      <w:bookmarkEnd w:id="21"/>
      <w:r>
        <w:rPr/>
        <w:t>, 193-196.</w:t>
      </w:r>
    </w:p>
    <w:p>
      <w:pPr>
        <w:pStyle w:val="Normal"/>
        <w:spacing w:lineRule="auto" w:line="240"/>
        <w:rPr/>
      </w:pPr>
      <w:bookmarkStart w:id="22" w:name="_ENREF_22"/>
      <w:r>
        <w:rPr/>
        <w:t>Keppler, D.O.</w:t>
      </w:r>
      <w:r>
        <w:rPr>
          <w:i/>
        </w:rPr>
        <w:t>, et al.</w:t>
      </w:r>
      <w:r>
        <w:rPr/>
        <w:t xml:space="preserve"> (1970) The trapping of uridine phosphates by D-galactosamine. D-glucosamine, and 2-deoxy-D-galactose. A study on the mechanism of galactosamine hepatitis, </w:t>
      </w:r>
      <w:r>
        <w:rPr>
          <w:i/>
        </w:rPr>
        <w:t>European journal of biochemistry / FEBS</w:t>
      </w:r>
      <w:r>
        <w:rPr/>
        <w:t xml:space="preserve">, </w:t>
      </w:r>
      <w:r>
        <w:rPr>
          <w:b/>
        </w:rPr>
        <w:t>17</w:t>
      </w:r>
      <w:bookmarkEnd w:id="22"/>
      <w:r>
        <w:rPr/>
        <w:t>, 246-253.</w:t>
      </w:r>
    </w:p>
    <w:p>
      <w:pPr>
        <w:pStyle w:val="Normal"/>
        <w:spacing w:lineRule="auto" w:line="240"/>
        <w:rPr/>
      </w:pPr>
      <w:bookmarkStart w:id="23" w:name="_ENREF_23"/>
      <w:r>
        <w:rPr/>
        <w:t xml:space="preserve">Kimura, N. and Shimada, N. (1988) Membrane-associated nucleoside diphosphate kinase from rat liver. Purification, characterization, and comparison with cytosolic enzyme, </w:t>
      </w:r>
      <w:r>
        <w:rPr>
          <w:i/>
        </w:rPr>
        <w:t>The Journal of biological chemistry</w:t>
      </w:r>
      <w:r>
        <w:rPr/>
        <w:t xml:space="preserve">, </w:t>
      </w:r>
      <w:r>
        <w:rPr>
          <w:b/>
        </w:rPr>
        <w:t>263</w:t>
      </w:r>
      <w:bookmarkEnd w:id="23"/>
      <w:r>
        <w:rPr/>
        <w:t>, 4647-4653.</w:t>
      </w:r>
    </w:p>
    <w:p>
      <w:pPr>
        <w:pStyle w:val="Normal"/>
        <w:spacing w:lineRule="auto" w:line="240"/>
        <w:rPr/>
      </w:pPr>
      <w:bookmarkStart w:id="24" w:name="_ENREF_24"/>
      <w:r>
        <w:rPr/>
        <w:t xml:space="preserve">Knop, J.K. and Hansen, R.G. (1970) Uridine diphosphate glucose pyrophosphorylase. IV. Crystallization and properties of the enzyme from human liver, </w:t>
      </w:r>
      <w:r>
        <w:rPr>
          <w:i/>
        </w:rPr>
        <w:t>The Journal of biological chemistry</w:t>
      </w:r>
      <w:r>
        <w:rPr/>
        <w:t xml:space="preserve">, </w:t>
      </w:r>
      <w:r>
        <w:rPr>
          <w:b/>
        </w:rPr>
        <w:t>245</w:t>
      </w:r>
      <w:bookmarkEnd w:id="24"/>
      <w:r>
        <w:rPr/>
        <w:t>, 2499-2504.</w:t>
      </w:r>
    </w:p>
    <w:p>
      <w:pPr>
        <w:pStyle w:val="Normal"/>
        <w:spacing w:lineRule="auto" w:line="240"/>
        <w:rPr/>
      </w:pPr>
      <w:bookmarkStart w:id="25" w:name="_ENREF_25"/>
      <w:r>
        <w:rPr/>
        <w:t xml:space="preserve">König, M., Bulik, S. and Holzhütter, H.G. (2012) Quantifying the contribution of the liver to glucose homeostasis: a detailed kinetic model of human hepatic glucose metabolism, </w:t>
      </w:r>
      <w:r>
        <w:rPr>
          <w:i/>
        </w:rPr>
        <w:t>PLoS computational biology</w:t>
      </w:r>
      <w:r>
        <w:rPr/>
        <w:t xml:space="preserve">, </w:t>
      </w:r>
      <w:r>
        <w:rPr>
          <w:b/>
        </w:rPr>
        <w:t>8</w:t>
      </w:r>
      <w:bookmarkEnd w:id="25"/>
      <w:r>
        <w:rPr/>
        <w:t>, e1002577.</w:t>
      </w:r>
    </w:p>
    <w:p>
      <w:pPr>
        <w:pStyle w:val="Normal"/>
        <w:spacing w:lineRule="auto" w:line="240"/>
        <w:rPr/>
      </w:pPr>
      <w:bookmarkStart w:id="26" w:name="_ENREF_26"/>
      <w:r>
        <w:rPr/>
        <w:t xml:space="preserve">Lam, S.C. and Packham, M.A. (1986) Isolation and kinetic studies of nucleoside diphosphokinase from human platelets and effects of cAMP phosphodiesterase inhibitors, </w:t>
      </w:r>
      <w:r>
        <w:rPr>
          <w:i/>
        </w:rPr>
        <w:t>Biochemical pharmacology</w:t>
      </w:r>
      <w:r>
        <w:rPr/>
        <w:t xml:space="preserve">, </w:t>
      </w:r>
      <w:r>
        <w:rPr>
          <w:b/>
        </w:rPr>
        <w:t>35</w:t>
      </w:r>
      <w:bookmarkEnd w:id="26"/>
      <w:r>
        <w:rPr/>
        <w:t>, 4449-4455.</w:t>
      </w:r>
    </w:p>
    <w:p>
      <w:pPr>
        <w:pStyle w:val="Normal"/>
        <w:spacing w:lineRule="auto" w:line="240"/>
        <w:rPr/>
      </w:pPr>
      <w:bookmarkStart w:id="27" w:name="_ENREF_27"/>
      <w:r>
        <w:rPr/>
        <w:t xml:space="preserve">Leslie, N.D. (2003) Insights into the pathogenesis of galactosemia, </w:t>
      </w:r>
      <w:r>
        <w:rPr>
          <w:i/>
        </w:rPr>
        <w:t>Annual review of nutrition</w:t>
      </w:r>
      <w:r>
        <w:rPr/>
        <w:t xml:space="preserve">, </w:t>
      </w:r>
      <w:r>
        <w:rPr>
          <w:b/>
        </w:rPr>
        <w:t>23</w:t>
      </w:r>
      <w:bookmarkEnd w:id="27"/>
      <w:r>
        <w:rPr/>
        <w:t>, 59-80.</w:t>
      </w:r>
    </w:p>
    <w:p>
      <w:pPr>
        <w:pStyle w:val="Normal"/>
        <w:spacing w:lineRule="auto" w:line="240"/>
        <w:rPr/>
      </w:pPr>
      <w:bookmarkStart w:id="28" w:name="_ENREF_28"/>
      <w:r>
        <w:rPr/>
        <w:t xml:space="preserve">Ozer, N., Aksoy, Y. and Ogus, I.H. (2001) Kinetic properties of human placental glucose-6-phosphate dehydrogenase, </w:t>
      </w:r>
      <w:r>
        <w:rPr>
          <w:i/>
        </w:rPr>
        <w:t>The international journal of biochemistry &amp; cell biology</w:t>
      </w:r>
      <w:r>
        <w:rPr/>
        <w:t xml:space="preserve">, </w:t>
      </w:r>
      <w:r>
        <w:rPr>
          <w:b/>
        </w:rPr>
        <w:t>33</w:t>
      </w:r>
      <w:bookmarkEnd w:id="28"/>
      <w:r>
        <w:rPr/>
        <w:t>, 221-226.</w:t>
      </w:r>
    </w:p>
    <w:p>
      <w:pPr>
        <w:pStyle w:val="Normal"/>
        <w:spacing w:lineRule="auto" w:line="240"/>
        <w:rPr/>
      </w:pPr>
      <w:bookmarkStart w:id="29" w:name="_ENREF_29"/>
      <w:r>
        <w:rPr/>
        <w:t xml:space="preserve">Parthasarathy, R., Parthasarathy, L. and Vadnal, R. (1997) Brain inositol monophosphatase identified as a galactose 1-phosphatase, </w:t>
      </w:r>
      <w:r>
        <w:rPr>
          <w:i/>
        </w:rPr>
        <w:t>Brain research</w:t>
      </w:r>
      <w:r>
        <w:rPr/>
        <w:t xml:space="preserve">, </w:t>
      </w:r>
      <w:r>
        <w:rPr>
          <w:b/>
        </w:rPr>
        <w:t>778</w:t>
      </w:r>
      <w:bookmarkEnd w:id="29"/>
      <w:r>
        <w:rPr/>
        <w:t>, 99-106.</w:t>
      </w:r>
    </w:p>
    <w:p>
      <w:pPr>
        <w:pStyle w:val="Normal"/>
        <w:spacing w:lineRule="auto" w:line="240"/>
        <w:rPr/>
      </w:pPr>
      <w:bookmarkStart w:id="30" w:name="_ENREF_30"/>
      <w:r>
        <w:rPr/>
        <w:t xml:space="preserve">Quick, C.B., Fisher, R.A. and Harris, H. (1974) A kinetic study of the isozymes determined by the three human phosphoglucomutase loci PGM1, PGM2, and PGM3, </w:t>
      </w:r>
      <w:r>
        <w:rPr>
          <w:i/>
        </w:rPr>
        <w:t>European journal of biochemistry / FEBS</w:t>
      </w:r>
      <w:r>
        <w:rPr/>
        <w:t xml:space="preserve">, </w:t>
      </w:r>
      <w:r>
        <w:rPr>
          <w:b/>
        </w:rPr>
        <w:t>42</w:t>
      </w:r>
      <w:bookmarkEnd w:id="30"/>
      <w:r>
        <w:rPr/>
        <w:t>, 511-517.</w:t>
      </w:r>
    </w:p>
    <w:p>
      <w:pPr>
        <w:pStyle w:val="Normal"/>
        <w:spacing w:lineRule="auto" w:line="240"/>
        <w:rPr/>
      </w:pPr>
      <w:bookmarkStart w:id="31" w:name="_ENREF_31"/>
      <w:r>
        <w:rPr/>
        <w:t>Quimby, B.B.</w:t>
      </w:r>
      <w:r>
        <w:rPr>
          <w:i/>
        </w:rPr>
        <w:t>, et al.</w:t>
      </w:r>
      <w:r>
        <w:rPr/>
        <w:t xml:space="preserve"> (1997) Characterization of two mutations associated with epimerase-deficiency galactosemia, by use of a yeast expression system for human UDP-galactose-4-epimerase, </w:t>
      </w:r>
      <w:r>
        <w:rPr>
          <w:i/>
        </w:rPr>
        <w:t>American journal of human genetics</w:t>
      </w:r>
      <w:r>
        <w:rPr/>
        <w:t xml:space="preserve">, </w:t>
      </w:r>
      <w:r>
        <w:rPr>
          <w:b/>
        </w:rPr>
        <w:t>61</w:t>
      </w:r>
      <w:bookmarkEnd w:id="31"/>
      <w:r>
        <w:rPr/>
        <w:t>, 590-598.</w:t>
      </w:r>
    </w:p>
    <w:p>
      <w:pPr>
        <w:pStyle w:val="Normal"/>
        <w:spacing w:lineRule="auto" w:line="240"/>
        <w:rPr/>
      </w:pPr>
      <w:bookmarkStart w:id="32" w:name="_ENREF_32"/>
      <w:r>
        <w:rPr/>
        <w:t>Quimby, B.B.</w:t>
      </w:r>
      <w:r>
        <w:rPr>
          <w:i/>
        </w:rPr>
        <w:t>, et al.</w:t>
      </w:r>
      <w:r>
        <w:rPr/>
        <w:t xml:space="preserve"> (1996) Functional requirements of the active site position 185 in the human enzyme galactose-1-phosphate uridylyltransferase, </w:t>
      </w:r>
      <w:r>
        <w:rPr>
          <w:i/>
        </w:rPr>
        <w:t>The Journal of biological chemistry</w:t>
      </w:r>
      <w:r>
        <w:rPr/>
        <w:t xml:space="preserve">, </w:t>
      </w:r>
      <w:r>
        <w:rPr>
          <w:b/>
        </w:rPr>
        <w:t>271</w:t>
      </w:r>
      <w:bookmarkEnd w:id="32"/>
      <w:r>
        <w:rPr/>
        <w:t>, 26835-26842.</w:t>
      </w:r>
    </w:p>
    <w:p>
      <w:pPr>
        <w:pStyle w:val="Normal"/>
        <w:spacing w:lineRule="auto" w:line="240"/>
        <w:rPr/>
      </w:pPr>
      <w:bookmarkStart w:id="33" w:name="_ENREF_33"/>
      <w:r>
        <w:rPr/>
        <w:t>Sangiuolo, F.</w:t>
      </w:r>
      <w:r>
        <w:rPr>
          <w:i/>
        </w:rPr>
        <w:t>, et al.</w:t>
      </w:r>
      <w:r>
        <w:rPr/>
        <w:t xml:space="preserve"> (2004) Biochemical characterization of two GALK1 mutations in patients with galactokinase deficiency, </w:t>
      </w:r>
      <w:r>
        <w:rPr>
          <w:i/>
        </w:rPr>
        <w:t>Human mutation</w:t>
      </w:r>
      <w:r>
        <w:rPr/>
        <w:t xml:space="preserve">, </w:t>
      </w:r>
      <w:r>
        <w:rPr>
          <w:b/>
        </w:rPr>
        <w:t>23</w:t>
      </w:r>
      <w:bookmarkEnd w:id="33"/>
      <w:r>
        <w:rPr/>
        <w:t>, 396.</w:t>
      </w:r>
    </w:p>
    <w:p>
      <w:pPr>
        <w:pStyle w:val="Normal"/>
        <w:spacing w:lineRule="auto" w:line="240"/>
        <w:rPr/>
      </w:pPr>
      <w:bookmarkStart w:id="34" w:name="_ENREF_34"/>
      <w:r>
        <w:rPr>
          <w:lang w:val="de-DE"/>
        </w:rPr>
        <w:t>Schirmer, W.J.</w:t>
      </w:r>
      <w:r>
        <w:rPr>
          <w:i/>
          <w:lang w:val="de-DE"/>
        </w:rPr>
        <w:t>, et al.</w:t>
      </w:r>
      <w:r>
        <w:rPr>
          <w:lang w:val="de-DE"/>
        </w:rPr>
        <w:t xml:space="preserve"> </w:t>
      </w:r>
      <w:r>
        <w:rPr/>
        <w:t xml:space="preserve">(1986) Galactose clearance as an estimate of effective hepatic blood flow: validation and limitations, </w:t>
      </w:r>
      <w:r>
        <w:rPr>
          <w:i/>
        </w:rPr>
        <w:t>The Journal of surgical research</w:t>
      </w:r>
      <w:r>
        <w:rPr/>
        <w:t xml:space="preserve">, </w:t>
      </w:r>
      <w:r>
        <w:rPr>
          <w:b/>
        </w:rPr>
        <w:t>41</w:t>
      </w:r>
      <w:bookmarkEnd w:id="34"/>
      <w:r>
        <w:rPr/>
        <w:t>, 543-556.</w:t>
      </w:r>
    </w:p>
    <w:p>
      <w:pPr>
        <w:pStyle w:val="Normal"/>
        <w:spacing w:lineRule="auto" w:line="240"/>
        <w:rPr/>
      </w:pPr>
      <w:bookmarkStart w:id="35" w:name="_ENREF_35"/>
      <w:r>
        <w:rPr/>
        <w:t xml:space="preserve">Segal, S. and Rogers, S. (1971) Nucleotide inhibition of mammalian liver galactose-I-phosphate uridylyltransferase, </w:t>
      </w:r>
      <w:r>
        <w:rPr>
          <w:i/>
        </w:rPr>
        <w:t>Biochimica et biophysica acta</w:t>
      </w:r>
      <w:r>
        <w:rPr/>
        <w:t xml:space="preserve">, </w:t>
      </w:r>
      <w:r>
        <w:rPr>
          <w:b/>
        </w:rPr>
        <w:t>250</w:t>
      </w:r>
      <w:bookmarkEnd w:id="35"/>
      <w:r>
        <w:rPr/>
        <w:t>, 351-360.</w:t>
      </w:r>
    </w:p>
    <w:p>
      <w:pPr>
        <w:pStyle w:val="Normal"/>
        <w:spacing w:lineRule="auto" w:line="240"/>
        <w:rPr/>
      </w:pPr>
      <w:bookmarkStart w:id="36" w:name="_ENREF_36"/>
      <w:r>
        <w:rPr/>
        <w:t>Slepak, T.I.</w:t>
      </w:r>
      <w:r>
        <w:rPr>
          <w:i/>
        </w:rPr>
        <w:t>, et al.</w:t>
      </w:r>
      <w:r>
        <w:rPr/>
        <w:t xml:space="preserve"> (2007) Involvement of endoplasmic reticulum stress in a novel Classic Galactosemia model, </w:t>
      </w:r>
      <w:r>
        <w:rPr>
          <w:i/>
        </w:rPr>
        <w:t>Molecular genetics and metabolism</w:t>
      </w:r>
      <w:r>
        <w:rPr/>
        <w:t xml:space="preserve">, </w:t>
      </w:r>
      <w:r>
        <w:rPr>
          <w:b/>
        </w:rPr>
        <w:t>92</w:t>
      </w:r>
      <w:bookmarkEnd w:id="36"/>
      <w:r>
        <w:rPr/>
        <w:t>, 78-87.</w:t>
      </w:r>
    </w:p>
    <w:p>
      <w:pPr>
        <w:pStyle w:val="Normal"/>
        <w:spacing w:lineRule="auto" w:line="240"/>
        <w:rPr/>
      </w:pPr>
      <w:bookmarkStart w:id="37" w:name="_ENREF_37"/>
      <w:r>
        <w:rPr/>
        <w:t>Tang, M.</w:t>
      </w:r>
      <w:r>
        <w:rPr>
          <w:i/>
        </w:rPr>
        <w:t>, et al.</w:t>
      </w:r>
      <w:r>
        <w:rPr/>
        <w:t xml:space="preserve"> (2012) Correlation assessment among clinical phenotypes, expression analysis and molecular modeling of 14 novel variations in the human galactose-1-phosphate uridylyltransferase gene, </w:t>
      </w:r>
      <w:r>
        <w:rPr>
          <w:i/>
        </w:rPr>
        <w:t>Human mutation</w:t>
      </w:r>
      <w:r>
        <w:rPr/>
        <w:t xml:space="preserve">, </w:t>
      </w:r>
      <w:r>
        <w:rPr>
          <w:b/>
        </w:rPr>
        <w:t>33</w:t>
      </w:r>
      <w:bookmarkEnd w:id="37"/>
      <w:r>
        <w:rPr/>
        <w:t>, 1107-1115.</w:t>
      </w:r>
    </w:p>
    <w:p>
      <w:pPr>
        <w:pStyle w:val="Normal"/>
        <w:spacing w:lineRule="auto" w:line="240"/>
        <w:rPr/>
      </w:pPr>
      <w:bookmarkStart w:id="38" w:name="_ENREF_38"/>
      <w:r>
        <w:rPr/>
        <w:t>Thoden, J.B.</w:t>
      </w:r>
      <w:r>
        <w:rPr>
          <w:i/>
        </w:rPr>
        <w:t>, et al.</w:t>
      </w:r>
      <w:r>
        <w:rPr/>
        <w:t xml:space="preserve"> (2002) Structural analysis of the Y299C mutant of Escherichia coli UDP-galactose 4-epimerase. Teaching an old dog new tricks, </w:t>
      </w:r>
      <w:r>
        <w:rPr>
          <w:i/>
        </w:rPr>
        <w:t>The Journal of biological chemistry</w:t>
      </w:r>
      <w:r>
        <w:rPr/>
        <w:t xml:space="preserve">, </w:t>
      </w:r>
      <w:r>
        <w:rPr>
          <w:b/>
        </w:rPr>
        <w:t>277</w:t>
      </w:r>
      <w:bookmarkEnd w:id="38"/>
      <w:r>
        <w:rPr/>
        <w:t>, 27528-27534.</w:t>
      </w:r>
    </w:p>
    <w:p>
      <w:pPr>
        <w:pStyle w:val="Normal"/>
        <w:spacing w:lineRule="auto" w:line="240"/>
        <w:rPr/>
      </w:pPr>
      <w:bookmarkStart w:id="39" w:name="_ENREF_39"/>
      <w:r>
        <w:rPr/>
        <w:t xml:space="preserve">Thuillier, L. (1978) Purification and kinetic properties of human erythrocyte Mg2+-dependent inorganic pyrophosphatase, </w:t>
      </w:r>
      <w:r>
        <w:rPr>
          <w:i/>
        </w:rPr>
        <w:t>Biochimica et biophysica acta</w:t>
      </w:r>
      <w:r>
        <w:rPr/>
        <w:t xml:space="preserve">, </w:t>
      </w:r>
      <w:r>
        <w:rPr>
          <w:b/>
        </w:rPr>
        <w:t>524</w:t>
      </w:r>
      <w:bookmarkEnd w:id="39"/>
      <w:r>
        <w:rPr/>
        <w:t>, 198-206.</w:t>
      </w:r>
    </w:p>
    <w:p>
      <w:pPr>
        <w:pStyle w:val="Normal"/>
        <w:spacing w:lineRule="auto" w:line="240"/>
        <w:rPr/>
      </w:pPr>
      <w:bookmarkStart w:id="40" w:name="_ENREF_40"/>
      <w:r>
        <w:rPr/>
        <w:t xml:space="preserve">Timson, D.J. (2005) Functional analysis of disease-causing mutations in human UDP-galactose 4-epimerase, </w:t>
      </w:r>
      <w:r>
        <w:rPr>
          <w:i/>
        </w:rPr>
        <w:t>The FEBS journal</w:t>
      </w:r>
      <w:r>
        <w:rPr/>
        <w:t xml:space="preserve">, </w:t>
      </w:r>
      <w:r>
        <w:rPr>
          <w:b/>
        </w:rPr>
        <w:t>272</w:t>
      </w:r>
      <w:bookmarkEnd w:id="40"/>
      <w:r>
        <w:rPr/>
        <w:t>, 6170-6177.</w:t>
      </w:r>
    </w:p>
    <w:p>
      <w:pPr>
        <w:pStyle w:val="Normal"/>
        <w:spacing w:lineRule="auto" w:line="240"/>
        <w:rPr/>
      </w:pPr>
      <w:bookmarkStart w:id="41" w:name="_ENREF_41"/>
      <w:r>
        <w:rPr/>
        <w:t xml:space="preserve">Timson, D.J. and Reece, R.J. (2003) Functional analysis of disease-causing mutations in human galactokinase, </w:t>
      </w:r>
      <w:r>
        <w:rPr>
          <w:i/>
        </w:rPr>
        <w:t>European journal of biochemistry / FEBS</w:t>
      </w:r>
      <w:r>
        <w:rPr/>
        <w:t xml:space="preserve">, </w:t>
      </w:r>
      <w:r>
        <w:rPr>
          <w:b/>
        </w:rPr>
        <w:t>270</w:t>
      </w:r>
      <w:bookmarkEnd w:id="41"/>
      <w:r>
        <w:rPr/>
        <w:t>, 1767-1774.</w:t>
      </w:r>
    </w:p>
    <w:p>
      <w:pPr>
        <w:pStyle w:val="Normal"/>
        <w:spacing w:lineRule="auto" w:line="240"/>
        <w:rPr/>
      </w:pPr>
      <w:bookmarkStart w:id="42" w:name="_ENREF_42"/>
      <w:r>
        <w:rPr/>
        <w:t>Turnquist, R.L.</w:t>
      </w:r>
      <w:r>
        <w:rPr>
          <w:i/>
        </w:rPr>
        <w:t>, et al.</w:t>
      </w:r>
      <w:r>
        <w:rPr/>
        <w:t xml:space="preserve"> (1974) Uridine diphosphate glucose pyrophosphorylase: differential heat inactivation and further characterization of human liver enzyme, </w:t>
      </w:r>
      <w:r>
        <w:rPr>
          <w:i/>
        </w:rPr>
        <w:t>Biochimica et biophysica acta</w:t>
      </w:r>
      <w:r>
        <w:rPr/>
        <w:t xml:space="preserve">, </w:t>
      </w:r>
      <w:r>
        <w:rPr>
          <w:b/>
        </w:rPr>
        <w:t>364</w:t>
      </w:r>
      <w:bookmarkEnd w:id="42"/>
      <w:r>
        <w:rPr/>
        <w:t>, 59-67.</w:t>
      </w:r>
    </w:p>
    <w:p>
      <w:pPr>
        <w:pStyle w:val="Normal"/>
        <w:spacing w:lineRule="auto" w:line="240"/>
        <w:rPr/>
      </w:pPr>
      <w:bookmarkStart w:id="43" w:name="_ENREF_43"/>
      <w:r>
        <w:rPr/>
        <w:t>Walmsley, A.R.</w:t>
      </w:r>
      <w:r>
        <w:rPr>
          <w:i/>
        </w:rPr>
        <w:t>, et al.</w:t>
      </w:r>
      <w:r>
        <w:rPr/>
        <w:t xml:space="preserve"> (1998) Sugar transporters from bacteria, parasites and mammals: structure-activity relationships, </w:t>
      </w:r>
      <w:r>
        <w:rPr>
          <w:i/>
        </w:rPr>
        <w:t>Trends in biochemical sciences</w:t>
      </w:r>
      <w:r>
        <w:rPr/>
        <w:t xml:space="preserve">, </w:t>
      </w:r>
      <w:r>
        <w:rPr>
          <w:b/>
        </w:rPr>
        <w:t>23</w:t>
      </w:r>
      <w:bookmarkEnd w:id="43"/>
      <w:r>
        <w:rPr/>
        <w:t>, 476-481.</w:t>
      </w:r>
    </w:p>
    <w:p>
      <w:pPr>
        <w:pStyle w:val="Normal"/>
        <w:spacing w:lineRule="auto" w:line="240"/>
        <w:rPr/>
      </w:pPr>
      <w:bookmarkStart w:id="44" w:name="_ENREF_44"/>
      <w:r>
        <w:rPr/>
        <w:t>Wasilenko, J.</w:t>
      </w:r>
      <w:r>
        <w:rPr>
          <w:i/>
        </w:rPr>
        <w:t>, et al.</w:t>
      </w:r>
      <w:r>
        <w:rPr/>
        <w:t xml:space="preserve"> (2005) Functional characterization of the K257R and G319E-hGALE alleles found in patients with ostensibly peripheral epimerase deficiency galactosemia, </w:t>
      </w:r>
      <w:r>
        <w:rPr>
          <w:i/>
        </w:rPr>
        <w:t>Molecular genetics and metabolism</w:t>
      </w:r>
      <w:r>
        <w:rPr/>
        <w:t xml:space="preserve">, </w:t>
      </w:r>
      <w:r>
        <w:rPr>
          <w:b/>
        </w:rPr>
        <w:t>84</w:t>
      </w:r>
      <w:bookmarkEnd w:id="44"/>
      <w:r>
        <w:rPr/>
        <w:t>, 32-38.</w:t>
      </w:r>
    </w:p>
    <w:p>
      <w:pPr>
        <w:pStyle w:val="Normal"/>
        <w:spacing w:lineRule="auto" w:line="240"/>
        <w:rPr/>
      </w:pPr>
      <w:bookmarkStart w:id="45" w:name="_ENREF_45"/>
      <w:r>
        <w:rPr/>
        <w:t>Wermuth, B.</w:t>
      </w:r>
      <w:r>
        <w:rPr>
          <w:i/>
        </w:rPr>
        <w:t>, et al.</w:t>
      </w:r>
      <w:r>
        <w:rPr/>
        <w:t xml:space="preserve"> (1982) Purification and characterization of human-brain aldose reductase, </w:t>
      </w:r>
      <w:r>
        <w:rPr>
          <w:i/>
        </w:rPr>
        <w:t>European journal of biochemistry / FEBS</w:t>
      </w:r>
      <w:r>
        <w:rPr/>
        <w:t xml:space="preserve">, </w:t>
      </w:r>
      <w:r>
        <w:rPr>
          <w:b/>
        </w:rPr>
        <w:t>127</w:t>
      </w:r>
      <w:bookmarkEnd w:id="45"/>
      <w:r>
        <w:rPr/>
        <w:t>, 279-284.</w:t>
      </w:r>
    </w:p>
    <w:p>
      <w:pPr>
        <w:pStyle w:val="Normal"/>
        <w:spacing w:lineRule="auto" w:line="240"/>
        <w:rPr/>
      </w:pPr>
      <w:bookmarkStart w:id="46" w:name="_ENREF_46"/>
      <w:r>
        <w:rPr/>
        <w:t xml:space="preserve">Wermuth, B. and von Wartburg, J.P. (1982) Aldose reductase from human tissues, </w:t>
      </w:r>
      <w:r>
        <w:rPr>
          <w:i/>
        </w:rPr>
        <w:t>Methods in enzymology</w:t>
      </w:r>
      <w:r>
        <w:rPr/>
        <w:t xml:space="preserve">, </w:t>
      </w:r>
      <w:r>
        <w:rPr>
          <w:b/>
        </w:rPr>
        <w:t>89 Pt D</w:t>
      </w:r>
      <w:bookmarkEnd w:id="46"/>
      <w:r>
        <w:rPr/>
        <w:t>, 181-186.</w:t>
      </w:r>
    </w:p>
    <w:p>
      <w:pPr>
        <w:pStyle w:val="Normal"/>
        <w:spacing w:lineRule="auto" w:line="240"/>
        <w:rPr/>
      </w:pPr>
      <w:bookmarkStart w:id="47" w:name="_ENREF_47"/>
      <w:r>
        <w:rPr/>
        <w:t xml:space="preserve">Winans, K.A. and Bertozzi, C.R. (2002) An inhibitor of the human UDP-GlcNAc 4-epimerase identified from a uridine-based library: a strategy to inhibit O-linked glycosylation, </w:t>
      </w:r>
      <w:r>
        <w:rPr>
          <w:i/>
        </w:rPr>
        <w:t>Chemistry &amp; biology</w:t>
      </w:r>
      <w:r>
        <w:rPr/>
        <w:t xml:space="preserve">, </w:t>
      </w:r>
      <w:r>
        <w:rPr>
          <w:b/>
        </w:rPr>
        <w:t>9</w:t>
      </w:r>
      <w:bookmarkEnd w:id="47"/>
      <w:r>
        <w:rPr/>
        <w:t>, 113-129.</w:t>
      </w:r>
    </w:p>
    <w:p>
      <w:pPr>
        <w:pStyle w:val="Normal"/>
        <w:spacing w:lineRule="auto" w:line="240"/>
        <w:rPr/>
      </w:pPr>
      <w:bookmarkStart w:id="48" w:name="_ENREF_48"/>
      <w:r>
        <w:rPr/>
        <w:t xml:space="preserve">Wohlers, T.M. and Fridovich-Keil, J.L. (2000) Studies of the V94M-substituted human UDPgalactose-4-epimerase enzyme associated with generalized epimerase-deficiency galactosaemia, </w:t>
      </w:r>
      <w:r>
        <w:rPr>
          <w:i/>
        </w:rPr>
        <w:t>Journal of inherited metabolic disease</w:t>
      </w:r>
      <w:r>
        <w:rPr/>
        <w:t xml:space="preserve">, </w:t>
      </w:r>
      <w:r>
        <w:rPr>
          <w:b/>
        </w:rPr>
        <w:t>23</w:t>
      </w:r>
      <w:bookmarkEnd w:id="48"/>
      <w:r>
        <w:rPr/>
        <w:t>, 713-729.</w:t>
      </w:r>
    </w:p>
    <w:p>
      <w:pPr>
        <w:pStyle w:val="Normal"/>
        <w:spacing w:lineRule="auto" w:line="240"/>
        <w:rPr/>
      </w:pPr>
      <w:bookmarkStart w:id="49" w:name="_ENREF_49"/>
      <w:r>
        <w:rPr/>
        <w:t xml:space="preserve">Yoshida, C., Shah, H. and Weinhouse, S. (1982) Purification and properties of inorganic pyrophosphatase of rat liver and hepatoma 3924A, </w:t>
      </w:r>
      <w:r>
        <w:rPr>
          <w:i/>
        </w:rPr>
        <w:t>Cancer research</w:t>
      </w:r>
      <w:r>
        <w:rPr/>
        <w:t xml:space="preserve">, </w:t>
      </w:r>
      <w:r>
        <w:rPr>
          <w:b/>
        </w:rPr>
        <w:t>42</w:t>
      </w:r>
      <w:bookmarkEnd w:id="49"/>
      <w:r>
        <w:rPr/>
        <w:t>, 3526-3531.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5840" w:h="12240"/>
      <w:pgMar w:left="1134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DejaVu Sans"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Times New Roman"/>
        <w:lang w:val="en-US" w:eastAsia="en-US" w:bidi="ar-SA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  <w:spacing w:lineRule="auto" w:line="360"/>
      <w:jc w:val="both"/>
    </w:pPr>
    <w:rPr>
      <w:rFonts w:ascii="Times New Roman" w:hAnsi="Times New Roman" w:eastAsia="DejaVu Sans" w:cs="Times New Roman"/>
      <w:color w:val="00000A"/>
      <w:sz w:val="24"/>
      <w:szCs w:val="24"/>
      <w:lang w:val="en-GB" w:eastAsia="hi-IN" w:bidi="hi-IN"/>
    </w:rPr>
  </w:style>
  <w:style w:type="paragraph" w:styleId="Heading1">
    <w:name w:val="Heading 1"/>
    <w:basedOn w:val="Normal"/>
    <w:next w:val="Normal"/>
    <w:pPr>
      <w:keepNext/>
      <w:spacing w:before="238" w:after="119"/>
      <w:jc w:val="center"/>
    </w:pPr>
    <w:rPr>
      <w:rFonts w:eastAsia="Times New Roman"/>
    </w:rPr>
  </w:style>
  <w:style w:type="paragraph" w:styleId="Heading2">
    <w:name w:val="Heading 2"/>
    <w:basedOn w:val="Normal"/>
    <w:next w:val="Normal"/>
    <w:pPr>
      <w:keepNext/>
      <w:spacing w:lineRule="auto" w:line="240" w:before="238" w:after="119"/>
    </w:pPr>
    <w:rPr>
      <w:rFonts w:eastAsia="Times New Roman"/>
      <w:caps/>
    </w:rPr>
  </w:style>
  <w:style w:type="paragraph" w:styleId="Heading3">
    <w:name w:val="Heading 3"/>
    <w:basedOn w:val="Normal"/>
    <w:next w:val="Normal"/>
    <w:pPr>
      <w:keepNext/>
      <w:spacing w:before="240" w:after="60"/>
      <w:ind w:left="709" w:right="0" w:hanging="0"/>
      <w:outlineLvl w:val="2"/>
    </w:pPr>
    <w:rPr>
      <w:rFonts w:eastAsia="Times New Roman"/>
      <w:bCs/>
      <w:i/>
    </w:rPr>
  </w:style>
  <w:style w:type="paragraph" w:styleId="Heading4">
    <w:name w:val="Heading 4"/>
    <w:basedOn w:val="Heading"/>
    <w:pPr>
      <w:outlineLvl w:val="3"/>
    </w:pPr>
    <w:rPr>
      <w:rFonts w:ascii="Times New Roman" w:hAnsi="Times New Roman"/>
      <w:bCs/>
      <w:sz w:val="24"/>
      <w:szCs w:val="24"/>
    </w:rPr>
  </w:style>
  <w:style w:type="character" w:styleId="DefaultParagraphFont">
    <w:name w:val="Default Paragraph Font"/>
    <w:rPr/>
  </w:style>
  <w:style w:type="character" w:styleId="Heading1Char">
    <w:name w:val="Heading 1 Char"/>
    <w:basedOn w:val="DefaultParagraphFont"/>
    <w:rPr>
      <w:rFonts w:eastAsia="Times New Roman"/>
      <w:b/>
      <w:bCs/>
      <w:sz w:val="24"/>
      <w:szCs w:val="24"/>
      <w:lang w:val="en-GB" w:eastAsia="hi-IN" w:bidi="hi-IN"/>
    </w:rPr>
  </w:style>
  <w:style w:type="character" w:styleId="Heading2Char">
    <w:name w:val="Heading 2 Char"/>
    <w:basedOn w:val="DefaultParagraphFont"/>
    <w:rPr>
      <w:rFonts w:eastAsia="Times New Roman"/>
      <w:b/>
      <w:bCs/>
      <w:iCs/>
      <w:caps/>
      <w:sz w:val="24"/>
      <w:szCs w:val="24"/>
      <w:lang w:val="en-GB" w:eastAsia="hi-IN" w:bidi="hi-IN"/>
    </w:rPr>
  </w:style>
  <w:style w:type="character" w:styleId="Heading3Char">
    <w:name w:val="Heading 3 Char"/>
    <w:basedOn w:val="DefaultParagraphFont"/>
    <w:rPr>
      <w:rFonts w:eastAsia="Times New Roman"/>
      <w:bCs/>
      <w:i/>
      <w:sz w:val="24"/>
      <w:szCs w:val="24"/>
      <w:lang w:val="en-GB" w:eastAsia="hi-IN" w:bidi="hi-IN"/>
    </w:rPr>
  </w:style>
  <w:style w:type="character" w:styleId="Heading4Char">
    <w:name w:val="Heading 4 Char"/>
    <w:basedOn w:val="DefaultParagraphFont"/>
    <w:rPr>
      <w:rFonts w:eastAsia="DejaVu Sans"/>
      <w:bCs/>
      <w:sz w:val="24"/>
      <w:szCs w:val="24"/>
      <w:lang w:val="en-GB" w:eastAsia="hi-IN" w:bidi="hi-IN"/>
    </w:rPr>
  </w:style>
  <w:style w:type="character" w:styleId="WW8Num2z0">
    <w:name w:val="WW8Num2z0"/>
    <w:rPr>
      <w:rFonts w:ascii="Symbol" w:hAnsi="Symbol" w:cs="OpenSymbol"/>
    </w:rPr>
  </w:style>
  <w:style w:type="character" w:styleId="WW8Num3z0">
    <w:name w:val="WW8Num3z0"/>
    <w:rPr>
      <w:rFonts w:ascii="Symbol" w:hAnsi="Symbol" w:cs="OpenSymbol"/>
    </w:rPr>
  </w:style>
  <w:style w:type="character" w:styleId="WW8Num4z0">
    <w:name w:val="WW8Num4z0"/>
    <w:rPr>
      <w:rFonts w:ascii="Symbol" w:hAnsi="Symbol" w:cs="OpenSymbol"/>
    </w:rPr>
  </w:style>
  <w:style w:type="character" w:styleId="WW8Num5z0">
    <w:name w:val="WW8Num5z0"/>
    <w:rPr>
      <w:rFonts w:ascii="Symbol" w:hAnsi="Symbol" w:cs="OpenSymbol"/>
    </w:rPr>
  </w:style>
  <w:style w:type="character" w:styleId="WW8Num6z0">
    <w:name w:val="WW8Num6z0"/>
    <w:rPr>
      <w:rFonts w:ascii="Symbol" w:hAnsi="Symbol" w:cs="OpenSymbol"/>
    </w:rPr>
  </w:style>
  <w:style w:type="character" w:styleId="WW8Num7z0">
    <w:name w:val="WW8Num7z0"/>
    <w:rPr>
      <w:rFonts w:ascii="Symbol" w:hAnsi="Symbol" w:cs="OpenSymbol"/>
    </w:rPr>
  </w:style>
  <w:style w:type="character" w:styleId="WW8Num8z0">
    <w:name w:val="WW8Num8z0"/>
    <w:rPr>
      <w:rFonts w:ascii="Symbol" w:hAnsi="Symbol" w:cs="OpenSymbol"/>
    </w:rPr>
  </w:style>
  <w:style w:type="character" w:styleId="WW8Num9z0">
    <w:name w:val="WW8Num9z0"/>
    <w:rPr>
      <w:rFonts w:ascii="Symbol" w:hAnsi="Symbol" w:cs="OpenSymbol"/>
    </w:rPr>
  </w:style>
  <w:style w:type="character" w:styleId="WW8Num10z0">
    <w:name w:val="WW8Num10z0"/>
    <w:rPr>
      <w:rFonts w:ascii="Symbol" w:hAnsi="Symbol" w:cs="OpenSymbol"/>
    </w:rPr>
  </w:style>
  <w:style w:type="character" w:styleId="WW8Num11z0">
    <w:name w:val="WW8Num11z0"/>
    <w:rPr>
      <w:rFonts w:ascii="Symbol" w:hAnsi="Symbol" w:cs="OpenSymbol"/>
    </w:rPr>
  </w:style>
  <w:style w:type="character" w:styleId="AbsatzStandardschriftart1">
    <w:name w:val="Absatz-Standardschriftart1"/>
    <w:rPr/>
  </w:style>
  <w:style w:type="character" w:styleId="WWAbsatzStandardschriftart">
    <w:name w:val="WW-Absatz-Standardschriftar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character" w:styleId="BodyTextChar">
    <w:name w:val="Body Text Char"/>
    <w:basedOn w:val="DefaultParagraphFont"/>
    <w:rPr>
      <w:rFonts w:eastAsia="DejaVu Sans"/>
      <w:sz w:val="24"/>
      <w:szCs w:val="24"/>
      <w:lang w:val="en-GB" w:eastAsia="hi-IN" w:bidi="hi-IN"/>
    </w:rPr>
  </w:style>
  <w:style w:type="character" w:styleId="BodyTextFirstIndentChar">
    <w:name w:val="Body Text First Indent Char"/>
    <w:basedOn w:val="BodyTextChar"/>
    <w:rPr>
      <w:rFonts w:eastAsia="DejaVu Sans"/>
      <w:sz w:val="24"/>
      <w:szCs w:val="24"/>
      <w:lang w:val="en-GB" w:eastAsia="hi-IN" w:bidi="hi-IN"/>
    </w:rPr>
  </w:style>
  <w:style w:type="character" w:styleId="TitleChar">
    <w:name w:val="Title Char"/>
    <w:basedOn w:val="DefaultParagraphFont"/>
    <w:rPr>
      <w:rFonts w:ascii="Arial" w:hAnsi="Arial" w:eastAsia="DejaVu Sans"/>
      <w:b/>
      <w:bCs/>
      <w:sz w:val="36"/>
      <w:szCs w:val="36"/>
      <w:lang w:val="en-GB" w:eastAsia="hi-IN" w:bidi="hi-IN"/>
    </w:rPr>
  </w:style>
  <w:style w:type="character" w:styleId="SubtitleChar">
    <w:name w:val="Subtitle Char"/>
    <w:basedOn w:val="DefaultParagraphFont"/>
    <w:rPr>
      <w:rFonts w:eastAsia="DejaVu Sans"/>
      <w:i/>
      <w:iCs/>
      <w:sz w:val="24"/>
      <w:szCs w:val="24"/>
      <w:lang w:val="de-DE" w:eastAsia="hi-IN" w:bidi="hi-IN"/>
    </w:rPr>
  </w:style>
  <w:style w:type="character" w:styleId="SubtleEmphasis">
    <w:name w:val="Subtle Emphasis"/>
    <w:rPr>
      <w:i/>
      <w:iCs/>
      <w:color w:val="808080"/>
    </w:rPr>
  </w:style>
  <w:style w:type="character" w:styleId="SectionHeadingChar">
    <w:name w:val="Section Heading Char"/>
    <w:rPr>
      <w:rFonts w:eastAsia="DejaVu Sans"/>
      <w:b/>
      <w:bCs/>
      <w:sz w:val="24"/>
      <w:szCs w:val="24"/>
      <w:lang w:val="en-GB" w:eastAsia="hi-IN" w:bidi="hi-IN"/>
    </w:rPr>
  </w:style>
  <w:style w:type="character" w:styleId="PlaceholderText">
    <w:name w:val="Placeholder Text"/>
    <w:rPr>
      <w:color w:val="808080"/>
    </w:rPr>
  </w:style>
  <w:style w:type="character" w:styleId="BalloonTextChar">
    <w:name w:val="Balloon Text Char"/>
    <w:basedOn w:val="DefaultParagraphFont"/>
    <w:rPr>
      <w:rFonts w:ascii="Tahoma" w:hAnsi="Tahoma" w:eastAsia="DejaVu Sans" w:cs="Mangal"/>
      <w:sz w:val="16"/>
      <w:szCs w:val="14"/>
      <w:lang w:val="en-GB" w:eastAsia="hi-IN" w:bidi="hi-IN"/>
    </w:rPr>
  </w:style>
  <w:style w:type="character" w:styleId="Annotationreference">
    <w:name w:val="annotation reference"/>
    <w:rPr>
      <w:sz w:val="16"/>
      <w:szCs w:val="16"/>
    </w:rPr>
  </w:style>
  <w:style w:type="character" w:styleId="CommentTextChar">
    <w:name w:val="Comment Text Char"/>
    <w:basedOn w:val="DefaultParagraphFont"/>
    <w:rPr>
      <w:rFonts w:eastAsia="DejaVu Sans"/>
      <w:lang w:val="en-GB" w:eastAsia="hi-IN" w:bidi="hi-IN"/>
    </w:rPr>
  </w:style>
  <w:style w:type="character" w:styleId="CommentSubjectChar">
    <w:name w:val="Comment Subject Char"/>
    <w:basedOn w:val="CommentTextChar"/>
    <w:rPr>
      <w:rFonts w:eastAsia="DejaVu Sans"/>
      <w:b/>
      <w:bCs/>
      <w:lang w:val="en-GB" w:eastAsia="hi-IN" w:bidi="hi-IN"/>
    </w:rPr>
  </w:style>
  <w:style w:type="character" w:styleId="Termhighlight">
    <w:name w:val="term-highlight"/>
    <w:rPr/>
  </w:style>
  <w:style w:type="character" w:styleId="Highlight">
    <w:name w:val="highlight"/>
    <w:rPr/>
  </w:style>
  <w:style w:type="character" w:styleId="Emphasis">
    <w:name w:val="Emphasis"/>
    <w:rPr>
      <w:i/>
      <w:iCs/>
    </w:rPr>
  </w:style>
  <w:style w:type="character" w:styleId="Strong">
    <w:name w:val="Strong"/>
    <w:rPr>
      <w:b/>
      <w:bCs/>
    </w:rPr>
  </w:style>
  <w:style w:type="character" w:styleId="NormalsmallChar">
    <w:name w:val="Normal small Char"/>
    <w:rPr>
      <w:rFonts w:eastAsia="DejaVu Sans"/>
      <w:lang w:val="en-GB" w:eastAsia="hi-IN" w:bidi="hi-IN"/>
    </w:rPr>
  </w:style>
  <w:style w:type="character" w:styleId="Plainlinks">
    <w:name w:val="plainlinks"/>
    <w:rPr/>
  </w:style>
  <w:style w:type="character" w:styleId="BoldsmallChar">
    <w:name w:val="Bold small Char"/>
    <w:rPr>
      <w:rFonts w:eastAsia="DejaVu Sans"/>
      <w:b/>
      <w:lang w:val="en-GB" w:eastAsia="hi-IN" w:bidi="hi-IN"/>
    </w:rPr>
  </w:style>
  <w:style w:type="character" w:styleId="Ecname">
    <w:name w:val="ec_name"/>
    <w:rPr/>
  </w:style>
  <w:style w:type="character" w:styleId="Full">
    <w:name w:val="full"/>
    <w:rPr/>
  </w:style>
  <w:style w:type="character" w:styleId="FollowedHyperlink">
    <w:name w:val="FollowedHyperlink"/>
    <w:rPr>
      <w:color w:val="800080"/>
      <w:u w:val="single"/>
    </w:rPr>
  </w:style>
  <w:style w:type="character" w:styleId="HTMLAcronym">
    <w:name w:val="HTML Acronym"/>
    <w:rPr/>
  </w:style>
  <w:style w:type="character" w:styleId="Normal1">
    <w:name w:val="Normal1"/>
    <w:rPr/>
  </w:style>
  <w:style w:type="character" w:styleId="Jrnl">
    <w:name w:val="jrnl"/>
    <w:rPr/>
  </w:style>
  <w:style w:type="character" w:styleId="Appleconvertedspace">
    <w:name w:val="apple-converted-space"/>
    <w:rPr/>
  </w:style>
  <w:style w:type="character" w:styleId="EndnoteTextChar">
    <w:name w:val="Endnote Text Char"/>
    <w:basedOn w:val="DefaultParagraphFont"/>
    <w:rPr>
      <w:rFonts w:eastAsia="DejaVu Sans" w:cs="Mangal"/>
      <w:szCs w:val="18"/>
      <w:lang w:val="en-GB" w:eastAsia="hi-IN" w:bidi="hi-IN"/>
    </w:rPr>
  </w:style>
  <w:style w:type="character" w:styleId="Endnotereference">
    <w:name w:val="endnote reference"/>
    <w:rPr>
      <w:vertAlign w:val="superscript"/>
    </w:rPr>
  </w:style>
  <w:style w:type="character" w:styleId="HeaderChar">
    <w:name w:val="Header Char"/>
    <w:basedOn w:val="DefaultParagraphFont"/>
    <w:rPr>
      <w:rFonts w:eastAsia="DejaVu Sans" w:cs="Mangal"/>
      <w:sz w:val="24"/>
      <w:szCs w:val="21"/>
      <w:lang w:val="en-GB" w:eastAsia="hi-IN" w:bidi="hi-IN"/>
    </w:rPr>
  </w:style>
  <w:style w:type="character" w:styleId="FooterChar">
    <w:name w:val="Footer Char"/>
    <w:basedOn w:val="DefaultParagraphFont"/>
    <w:rPr>
      <w:rFonts w:eastAsia="DejaVu Sans" w:cs="Mangal"/>
      <w:sz w:val="24"/>
      <w:szCs w:val="21"/>
      <w:lang w:val="en-GB" w:eastAsia="hi-IN" w:bidi="hi-IN"/>
    </w:rPr>
  </w:style>
  <w:style w:type="character" w:styleId="ListLabel1">
    <w:name w:val="ListLabel 1"/>
    <w:rPr>
      <w:rFonts w:cs="OpenSymbol"/>
    </w:rPr>
  </w:style>
  <w:style w:type="character" w:styleId="ListLabel2">
    <w:name w:val="ListLabel 2"/>
    <w:rPr>
      <w:rFonts w:eastAsia="DejaVu Sans" w:cs="Times New Roman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eastAsia="Times New Roman" w:cs="Arial"/>
      <w:sz w:val="18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Objectwitharrow">
    <w:name w:val="Object with arrow"/>
    <w:basedOn w:val="Normal"/>
    <w:pPr/>
    <w:rPr/>
  </w:style>
  <w:style w:type="paragraph" w:styleId="Objectwithshadow">
    <w:name w:val="Object with shadow"/>
    <w:basedOn w:val="Normal"/>
    <w:pPr/>
    <w:rPr/>
  </w:style>
  <w:style w:type="paragraph" w:styleId="Objectwithoutfill">
    <w:name w:val="Object without fill"/>
    <w:basedOn w:val="Normal"/>
    <w:pPr/>
    <w:rPr/>
  </w:style>
  <w:style w:type="paragraph" w:styleId="Text">
    <w:name w:val="Text"/>
    <w:basedOn w:val="Caption1"/>
    <w:pPr/>
    <w:rPr/>
  </w:style>
  <w:style w:type="paragraph" w:styleId="Textbodyjustified">
    <w:name w:val="Text body justified"/>
    <w:basedOn w:val="Normal"/>
    <w:pPr/>
    <w:rPr/>
  </w:style>
  <w:style w:type="paragraph" w:styleId="TextBodyIndent">
    <w:name w:val="Text Body Indent"/>
    <w:basedOn w:val="TextBody"/>
    <w:pPr>
      <w:ind w:left="0" w:right="0" w:firstLine="283"/>
    </w:pPr>
    <w:rPr/>
  </w:style>
  <w:style w:type="paragraph" w:styleId="Title">
    <w:name w:val="Title"/>
    <w:basedOn w:val="Heading"/>
    <w:next w:val="Subtitle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pPr>
      <w:jc w:val="center"/>
    </w:pPr>
    <w:rPr>
      <w:rFonts w:ascii="Times New Roman" w:hAnsi="Times New Roman"/>
      <w:i/>
      <w:iCs/>
      <w:sz w:val="24"/>
      <w:szCs w:val="24"/>
      <w:lang w:val="de-DE"/>
    </w:rPr>
  </w:style>
  <w:style w:type="paragraph" w:styleId="Title1">
    <w:name w:val="Title1"/>
    <w:basedOn w:val="Normal"/>
    <w:pPr>
      <w:jc w:val="center"/>
    </w:pPr>
    <w:rPr/>
  </w:style>
  <w:style w:type="paragraph" w:styleId="Title2">
    <w:name w:val="Title2"/>
    <w:basedOn w:val="Normal"/>
    <w:pPr>
      <w:spacing w:before="57" w:after="57"/>
      <w:ind w:left="0" w:right="113" w:hanging="0"/>
      <w:jc w:val="center"/>
    </w:pPr>
    <w:rPr/>
  </w:style>
  <w:style w:type="paragraph" w:styleId="DimensionLine">
    <w:name w:val="Dimension Line"/>
    <w:basedOn w:val="Normal"/>
    <w:pPr/>
    <w:rPr/>
  </w:style>
  <w:style w:type="paragraph" w:styleId="DefaultLTGliederung1">
    <w:name w:val="Default~LT~Gliederung 1"/>
    <w:pPr>
      <w:widowControl w:val="false"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kinsoku w:val="true"/>
      <w:overflowPunct w:val="true"/>
      <w:autoSpaceDE w:val="true"/>
      <w:bidi w:val="0"/>
      <w:spacing w:before="160" w:after="0"/>
      <w:jc w:val="left"/>
    </w:pPr>
    <w:rPr>
      <w:rFonts w:ascii="DejaVu Sans" w:hAnsi="DejaVu Sans" w:eastAsia="DejaVu Sans" w:cs="DejaVu Sans"/>
      <w:color w:val="000000"/>
      <w:sz w:val="64"/>
      <w:szCs w:val="64"/>
      <w:lang w:val="en-GB" w:eastAsia="hi-IN" w:bidi="hi-IN"/>
    </w:rPr>
  </w:style>
  <w:style w:type="paragraph" w:styleId="DefaultLTGliederung2">
    <w:name w:val="Default~LT~Gliederung 2"/>
    <w:basedOn w:val="DefaultLTGliederung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</w:pPr>
    <w:rPr>
      <w:sz w:val="56"/>
      <w:szCs w:val="56"/>
    </w:rPr>
  </w:style>
  <w:style w:type="paragraph" w:styleId="DefaultLTGliederung3">
    <w:name w:val="Default~LT~Gliederung 3"/>
    <w:basedOn w:val="DefaultLTGliederung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</w:pPr>
    <w:rPr>
      <w:sz w:val="48"/>
      <w:szCs w:val="48"/>
    </w:rPr>
  </w:style>
  <w:style w:type="paragraph" w:styleId="DefaultLTGliederung4">
    <w:name w:val="Default~LT~Gliederung 4"/>
    <w:basedOn w:val="DefaultLTGliederung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</w:pPr>
    <w:rPr>
      <w:sz w:val="40"/>
      <w:szCs w:val="40"/>
    </w:rPr>
  </w:style>
  <w:style w:type="paragraph" w:styleId="DefaultLTGliederung5">
    <w:name w:val="Default~LT~Gliederung 5"/>
    <w:basedOn w:val="DefaultLTGliederung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</w:pPr>
    <w:rPr/>
  </w:style>
  <w:style w:type="paragraph" w:styleId="DefaultLTGliederung6">
    <w:name w:val="Default~LT~Gliederung 6"/>
    <w:basedOn w:val="DefaultLTGliederung5"/>
    <w:pPr/>
    <w:rPr/>
  </w:style>
  <w:style w:type="paragraph" w:styleId="DefaultLTGliederung7">
    <w:name w:val="Default~LT~Gliederung 7"/>
    <w:basedOn w:val="DefaultLTGliederung6"/>
    <w:pPr/>
    <w:rPr/>
  </w:style>
  <w:style w:type="paragraph" w:styleId="DefaultLTGliederung8">
    <w:name w:val="Default~LT~Gliederung 8"/>
    <w:basedOn w:val="DefaultLTGliederung7"/>
    <w:pPr/>
    <w:rPr/>
  </w:style>
  <w:style w:type="paragraph" w:styleId="DefaultLTGliederung9">
    <w:name w:val="Default~LT~Gliederung 9"/>
    <w:basedOn w:val="DefaultLTGliederung8"/>
    <w:pPr/>
    <w:rPr/>
  </w:style>
  <w:style w:type="paragraph" w:styleId="DefaultLTTitel">
    <w:name w:val="Default~LT~Titel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kinsoku w:val="true"/>
      <w:overflowPunct w:val="true"/>
      <w:autoSpaceDE w:val="true"/>
      <w:bidi w:val="0"/>
      <w:jc w:val="center"/>
    </w:pPr>
    <w:rPr>
      <w:rFonts w:ascii="DejaVu Sans" w:hAnsi="DejaVu Sans" w:eastAsia="DejaVu Sans" w:cs="DejaVu Sans"/>
      <w:color w:val="000000"/>
      <w:sz w:val="88"/>
      <w:szCs w:val="88"/>
      <w:lang w:val="en-GB" w:eastAsia="hi-IN" w:bidi="hi-IN"/>
    </w:rPr>
  </w:style>
  <w:style w:type="paragraph" w:styleId="DefaultLTUntertitel">
    <w:name w:val="Default~LT~Untertitel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kinsoku w:val="true"/>
      <w:overflowPunct w:val="true"/>
      <w:autoSpaceDE w:val="true"/>
      <w:bidi w:val="0"/>
      <w:spacing w:before="160" w:after="0"/>
      <w:jc w:val="center"/>
    </w:pPr>
    <w:rPr>
      <w:rFonts w:ascii="DejaVu Sans" w:hAnsi="DejaVu Sans" w:eastAsia="DejaVu Sans" w:cs="DejaVu Sans"/>
      <w:color w:val="000000"/>
      <w:sz w:val="64"/>
      <w:szCs w:val="64"/>
      <w:lang w:val="en-GB" w:eastAsia="hi-IN" w:bidi="hi-IN"/>
    </w:rPr>
  </w:style>
  <w:style w:type="paragraph" w:styleId="DefaultLTNotizen">
    <w:name w:val="Default~LT~Notizen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kinsoku w:val="true"/>
      <w:overflowPunct w:val="true"/>
      <w:autoSpaceDE w:val="true"/>
      <w:bidi w:val="0"/>
      <w:spacing w:before="90" w:after="0"/>
      <w:jc w:val="left"/>
    </w:pPr>
    <w:rPr>
      <w:rFonts w:ascii="DejaVu Sans" w:hAnsi="DejaVu Sans" w:eastAsia="DejaVu Sans" w:cs="DejaVu Sans"/>
      <w:color w:val="000000"/>
      <w:sz w:val="24"/>
      <w:szCs w:val="24"/>
      <w:lang w:val="en-GB" w:eastAsia="hi-IN" w:bidi="hi-IN"/>
    </w:rPr>
  </w:style>
  <w:style w:type="paragraph" w:styleId="DefaultLTHintergrundobjekte">
    <w:name w:val="Default~LT~Hintergrundobjekte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000000"/>
      <w:sz w:val="36"/>
      <w:szCs w:val="36"/>
      <w:lang w:val="en-GB" w:eastAsia="hi-IN" w:bidi="hi-IN"/>
    </w:rPr>
  </w:style>
  <w:style w:type="paragraph" w:styleId="DefaultLTHintergrund">
    <w:name w:val="Default~LT~Hintergrund"/>
    <w:pPr>
      <w:widowControl w:val="false"/>
      <w:suppressAutoHyphens w:val="true"/>
      <w:kinsoku w:val="true"/>
      <w:overflowPunct w:val="true"/>
      <w:autoSpaceDE w:val="true"/>
      <w:bidi w:val="0"/>
      <w:jc w:val="center"/>
    </w:pPr>
    <w:rPr>
      <w:rFonts w:ascii="Times New Roman" w:hAnsi="Times New Roman" w:eastAsia="DejaVu Sans" w:cs="DejaVu Sans"/>
      <w:color w:val="00000A"/>
      <w:sz w:val="24"/>
      <w:szCs w:val="24"/>
      <w:lang w:val="en-GB" w:eastAsia="hi-IN" w:bidi="hi-IN"/>
    </w:rPr>
  </w:style>
  <w:style w:type="paragraph" w:styleId="Default">
    <w:name w:val="default"/>
    <w:pPr>
      <w:widowControl w:val="false"/>
      <w:suppressAutoHyphens w:val="true"/>
      <w:kinsoku w:val="true"/>
      <w:overflowPunct w:val="true"/>
      <w:autoSpaceDE w:val="true"/>
      <w:bidi w:val="0"/>
      <w:spacing w:lineRule="atLeast" w:line="200"/>
      <w:jc w:val="left"/>
    </w:pPr>
    <w:rPr>
      <w:rFonts w:ascii="DejaVu Sans" w:hAnsi="DejaVu Sans" w:eastAsia="DejaVu Sans" w:cs="DejaVu Sans"/>
      <w:color w:val="00000A"/>
      <w:sz w:val="36"/>
      <w:szCs w:val="36"/>
      <w:lang w:val="en-GB" w:eastAsia="hi-IN" w:bidi="hi-IN"/>
    </w:rPr>
  </w:style>
  <w:style w:type="paragraph" w:styleId="Blue1">
    <w:name w:val="blue1"/>
    <w:basedOn w:val="Default"/>
    <w:pPr/>
    <w:rPr/>
  </w:style>
  <w:style w:type="paragraph" w:styleId="Blue2">
    <w:name w:val="blue2"/>
    <w:basedOn w:val="Default"/>
    <w:pPr/>
    <w:rPr/>
  </w:style>
  <w:style w:type="paragraph" w:styleId="Blue3">
    <w:name w:val="blue3"/>
    <w:basedOn w:val="Default"/>
    <w:pPr/>
    <w:rPr/>
  </w:style>
  <w:style w:type="paragraph" w:styleId="Bw1">
    <w:name w:val="bw1"/>
    <w:basedOn w:val="Default"/>
    <w:pPr/>
    <w:rPr/>
  </w:style>
  <w:style w:type="paragraph" w:styleId="Bw2">
    <w:name w:val="bw2"/>
    <w:basedOn w:val="Default"/>
    <w:pPr/>
    <w:rPr/>
  </w:style>
  <w:style w:type="paragraph" w:styleId="Bw3">
    <w:name w:val="bw3"/>
    <w:basedOn w:val="Default"/>
    <w:pPr/>
    <w:rPr/>
  </w:style>
  <w:style w:type="paragraph" w:styleId="Orange1">
    <w:name w:val="orange1"/>
    <w:basedOn w:val="Default"/>
    <w:pPr/>
    <w:rPr/>
  </w:style>
  <w:style w:type="paragraph" w:styleId="Orange2">
    <w:name w:val="orange2"/>
    <w:basedOn w:val="Default"/>
    <w:pPr/>
    <w:rPr/>
  </w:style>
  <w:style w:type="paragraph" w:styleId="Orange3">
    <w:name w:val="orange3"/>
    <w:basedOn w:val="Default"/>
    <w:pPr/>
    <w:rPr/>
  </w:style>
  <w:style w:type="paragraph" w:styleId="Turquise1">
    <w:name w:val="turquise1"/>
    <w:basedOn w:val="Default"/>
    <w:pPr/>
    <w:rPr/>
  </w:style>
  <w:style w:type="paragraph" w:styleId="Turquise2">
    <w:name w:val="turquise2"/>
    <w:basedOn w:val="Default"/>
    <w:pPr/>
    <w:rPr/>
  </w:style>
  <w:style w:type="paragraph" w:styleId="Turquise3">
    <w:name w:val="turquise3"/>
    <w:basedOn w:val="Default"/>
    <w:pPr/>
    <w:rPr/>
  </w:style>
  <w:style w:type="paragraph" w:styleId="Gray1">
    <w:name w:val="gray1"/>
    <w:basedOn w:val="Default"/>
    <w:pPr/>
    <w:rPr/>
  </w:style>
  <w:style w:type="paragraph" w:styleId="Gray2">
    <w:name w:val="gray2"/>
    <w:basedOn w:val="Default"/>
    <w:pPr/>
    <w:rPr/>
  </w:style>
  <w:style w:type="paragraph" w:styleId="Gray3">
    <w:name w:val="gray3"/>
    <w:basedOn w:val="Default"/>
    <w:pPr/>
    <w:rPr/>
  </w:style>
  <w:style w:type="paragraph" w:styleId="Sun1">
    <w:name w:val="sun1"/>
    <w:basedOn w:val="Default"/>
    <w:pPr/>
    <w:rPr/>
  </w:style>
  <w:style w:type="paragraph" w:styleId="Sun2">
    <w:name w:val="sun2"/>
    <w:basedOn w:val="Default"/>
    <w:pPr/>
    <w:rPr/>
  </w:style>
  <w:style w:type="paragraph" w:styleId="Sun3">
    <w:name w:val="sun3"/>
    <w:basedOn w:val="Default"/>
    <w:pPr/>
    <w:rPr/>
  </w:style>
  <w:style w:type="paragraph" w:styleId="Earth1">
    <w:name w:val="earth1"/>
    <w:basedOn w:val="Default"/>
    <w:pPr/>
    <w:rPr/>
  </w:style>
  <w:style w:type="paragraph" w:styleId="Earth2">
    <w:name w:val="earth2"/>
    <w:basedOn w:val="Default"/>
    <w:pPr/>
    <w:rPr/>
  </w:style>
  <w:style w:type="paragraph" w:styleId="Earth3">
    <w:name w:val="earth3"/>
    <w:basedOn w:val="Default"/>
    <w:pPr/>
    <w:rPr/>
  </w:style>
  <w:style w:type="paragraph" w:styleId="Green1">
    <w:name w:val="green1"/>
    <w:basedOn w:val="Default"/>
    <w:pPr/>
    <w:rPr/>
  </w:style>
  <w:style w:type="paragraph" w:styleId="Green2">
    <w:name w:val="green2"/>
    <w:basedOn w:val="Default"/>
    <w:pPr/>
    <w:rPr/>
  </w:style>
  <w:style w:type="paragraph" w:styleId="Green3">
    <w:name w:val="green3"/>
    <w:basedOn w:val="Default"/>
    <w:pPr/>
    <w:rPr/>
  </w:style>
  <w:style w:type="paragraph" w:styleId="Seetang1">
    <w:name w:val="seetang1"/>
    <w:basedOn w:val="Default"/>
    <w:pPr/>
    <w:rPr/>
  </w:style>
  <w:style w:type="paragraph" w:styleId="Seetang2">
    <w:name w:val="seetang2"/>
    <w:basedOn w:val="Default"/>
    <w:pPr/>
    <w:rPr/>
  </w:style>
  <w:style w:type="paragraph" w:styleId="Seetang3">
    <w:name w:val="seetang3"/>
    <w:basedOn w:val="Default"/>
    <w:pPr/>
    <w:rPr/>
  </w:style>
  <w:style w:type="paragraph" w:styleId="Lightblue1">
    <w:name w:val="lightblue1"/>
    <w:basedOn w:val="Default"/>
    <w:pPr/>
    <w:rPr/>
  </w:style>
  <w:style w:type="paragraph" w:styleId="Lightblue2">
    <w:name w:val="lightblue2"/>
    <w:basedOn w:val="Default"/>
    <w:pPr/>
    <w:rPr/>
  </w:style>
  <w:style w:type="paragraph" w:styleId="Lightblue3">
    <w:name w:val="lightblue3"/>
    <w:basedOn w:val="Default"/>
    <w:pPr/>
    <w:rPr/>
  </w:style>
  <w:style w:type="paragraph" w:styleId="Yellow1">
    <w:name w:val="yellow1"/>
    <w:basedOn w:val="Default"/>
    <w:pPr/>
    <w:rPr/>
  </w:style>
  <w:style w:type="paragraph" w:styleId="Yellow2">
    <w:name w:val="yellow2"/>
    <w:basedOn w:val="Default"/>
    <w:pPr/>
    <w:rPr/>
  </w:style>
  <w:style w:type="paragraph" w:styleId="Yellow3">
    <w:name w:val="yellow3"/>
    <w:basedOn w:val="Default"/>
    <w:pPr/>
    <w:rPr/>
  </w:style>
  <w:style w:type="paragraph" w:styleId="WWTitle">
    <w:name w:val="WW-Title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kinsoku w:val="true"/>
      <w:overflowPunct w:val="true"/>
      <w:autoSpaceDE w:val="true"/>
      <w:bidi w:val="0"/>
      <w:jc w:val="center"/>
    </w:pPr>
    <w:rPr>
      <w:rFonts w:ascii="DejaVu Sans" w:hAnsi="DejaVu Sans" w:eastAsia="DejaVu Sans" w:cs="DejaVu Sans"/>
      <w:color w:val="000000"/>
      <w:sz w:val="88"/>
      <w:szCs w:val="88"/>
      <w:lang w:val="en-GB" w:eastAsia="hi-IN" w:bidi="hi-IN"/>
    </w:rPr>
  </w:style>
  <w:style w:type="paragraph" w:styleId="Backgroundobjects">
    <w:name w:val="Background objects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000000"/>
      <w:sz w:val="36"/>
      <w:szCs w:val="36"/>
      <w:lang w:val="en-GB" w:eastAsia="hi-IN" w:bidi="hi-IN"/>
    </w:rPr>
  </w:style>
  <w:style w:type="paragraph" w:styleId="Background">
    <w:name w:val="Background"/>
    <w:pPr>
      <w:widowControl w:val="false"/>
      <w:suppressAutoHyphens w:val="true"/>
      <w:kinsoku w:val="true"/>
      <w:overflowPunct w:val="true"/>
      <w:autoSpaceDE w:val="true"/>
      <w:bidi w:val="0"/>
      <w:jc w:val="center"/>
    </w:pPr>
    <w:rPr>
      <w:rFonts w:ascii="Times New Roman" w:hAnsi="Times New Roman" w:eastAsia="DejaVu Sans" w:cs="DejaVu Sans"/>
      <w:color w:val="00000A"/>
      <w:sz w:val="24"/>
      <w:szCs w:val="24"/>
      <w:lang w:val="en-GB" w:eastAsia="hi-IN" w:bidi="hi-IN"/>
    </w:rPr>
  </w:style>
  <w:style w:type="paragraph" w:styleId="Notes">
    <w:name w:val="Notes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kinsoku w:val="true"/>
      <w:overflowPunct w:val="true"/>
      <w:autoSpaceDE w:val="true"/>
      <w:bidi w:val="0"/>
      <w:spacing w:before="90" w:after="0"/>
      <w:jc w:val="left"/>
    </w:pPr>
    <w:rPr>
      <w:rFonts w:ascii="DejaVu Sans" w:hAnsi="DejaVu Sans" w:eastAsia="DejaVu Sans" w:cs="DejaVu Sans"/>
      <w:color w:val="000000"/>
      <w:sz w:val="24"/>
      <w:szCs w:val="24"/>
      <w:lang w:val="en-GB" w:eastAsia="hi-IN" w:bidi="hi-IN"/>
    </w:rPr>
  </w:style>
  <w:style w:type="paragraph" w:styleId="Outline1">
    <w:name w:val="Outline 1"/>
    <w:pPr>
      <w:widowControl w:val="false"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kinsoku w:val="true"/>
      <w:overflowPunct w:val="true"/>
      <w:autoSpaceDE w:val="true"/>
      <w:bidi w:val="0"/>
      <w:spacing w:before="160" w:after="0"/>
      <w:jc w:val="left"/>
    </w:pPr>
    <w:rPr>
      <w:rFonts w:ascii="DejaVu Sans" w:hAnsi="DejaVu Sans" w:eastAsia="DejaVu Sans" w:cs="DejaVu Sans"/>
      <w:color w:val="000000"/>
      <w:sz w:val="64"/>
      <w:szCs w:val="64"/>
      <w:lang w:val="en-GB" w:eastAsia="hi-IN" w:bidi="hi-IN"/>
    </w:rPr>
  </w:style>
  <w:style w:type="paragraph" w:styleId="Outline2">
    <w:name w:val="Outline 2"/>
    <w:basedOn w:val="Outline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</w:pPr>
    <w:rPr>
      <w:sz w:val="56"/>
      <w:szCs w:val="56"/>
    </w:rPr>
  </w:style>
  <w:style w:type="paragraph" w:styleId="Outline3">
    <w:name w:val="Outline 3"/>
    <w:basedOn w:val="Outline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</w:pPr>
    <w:rPr>
      <w:sz w:val="48"/>
      <w:szCs w:val="48"/>
    </w:rPr>
  </w:style>
  <w:style w:type="paragraph" w:styleId="Outline4">
    <w:name w:val="Outline 4"/>
    <w:basedOn w:val="Outline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</w:pPr>
    <w:rPr>
      <w:sz w:val="40"/>
      <w:szCs w:val="40"/>
    </w:rPr>
  </w:style>
  <w:style w:type="paragraph" w:styleId="Outline5">
    <w:name w:val="Outline 5"/>
    <w:basedOn w:val="Outline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</w:pPr>
    <w:rPr/>
  </w:style>
  <w:style w:type="paragraph" w:styleId="Outline6">
    <w:name w:val="Outline 6"/>
    <w:basedOn w:val="Outline5"/>
    <w:pPr/>
    <w:rPr/>
  </w:style>
  <w:style w:type="paragraph" w:styleId="Outline7">
    <w:name w:val="Outline 7"/>
    <w:basedOn w:val="Outline6"/>
    <w:pPr/>
    <w:rPr/>
  </w:style>
  <w:style w:type="paragraph" w:styleId="Outline8">
    <w:name w:val="Outline 8"/>
    <w:basedOn w:val="Outline7"/>
    <w:pPr/>
    <w:rPr/>
  </w:style>
  <w:style w:type="paragraph" w:styleId="Outline9">
    <w:name w:val="Outline 9"/>
    <w:basedOn w:val="Outline8"/>
    <w:pPr/>
    <w:rPr/>
  </w:style>
  <w:style w:type="paragraph" w:styleId="Default1">
    <w:name w:val="Default"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styleId="SectionHeading">
    <w:name w:val="Section Heading"/>
    <w:basedOn w:val="Normal"/>
    <w:pPr/>
    <w:rPr>
      <w:b/>
      <w:bCs/>
    </w:rPr>
  </w:style>
  <w:style w:type="paragraph" w:styleId="BalloonText">
    <w:name w:val="Balloon Text"/>
    <w:basedOn w:val="Normal"/>
    <w:pPr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Annotationtext">
    <w:name w:val="annotation text"/>
    <w:basedOn w:val="Normal"/>
    <w:pPr/>
    <w:rPr>
      <w:sz w:val="20"/>
      <w:szCs w:val="20"/>
    </w:rPr>
  </w:style>
  <w:style w:type="paragraph" w:styleId="Annotationsubject">
    <w:name w:val="annotation subject"/>
    <w:basedOn w:val="Annotationtext"/>
    <w:pPr/>
    <w:rPr>
      <w:b/>
      <w:bCs/>
    </w:rPr>
  </w:style>
  <w:style w:type="paragraph" w:styleId="Revision">
    <w:name w:val="Revision"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DejaVu Sans" w:cs="Mangal"/>
      <w:color w:val="00000A"/>
      <w:sz w:val="24"/>
      <w:szCs w:val="21"/>
      <w:lang w:val="en-US" w:eastAsia="hi-IN" w:bidi="hi-IN"/>
    </w:rPr>
  </w:style>
  <w:style w:type="paragraph" w:styleId="MKTextbody">
    <w:name w:val="MK Text body"/>
    <w:basedOn w:val="TextBody"/>
    <w:pPr>
      <w:spacing w:before="43" w:after="29"/>
    </w:pPr>
    <w:rPr>
      <w:rFonts w:ascii="Arial" w:hAnsi="Arial"/>
      <w:sz w:val="22"/>
    </w:rPr>
  </w:style>
  <w:style w:type="paragraph" w:styleId="References">
    <w:name w:val="References"/>
    <w:basedOn w:val="Normal"/>
    <w:pPr/>
    <w:rPr>
      <w:rFonts w:eastAsia="RODDJZ+DiverdaSansCom-Light"/>
      <w:color w:val="1F1E21"/>
      <w:sz w:val="20"/>
      <w:szCs w:val="20"/>
      <w:lang w:eastAsia="ar-SA" w:bidi="ar-SA"/>
    </w:rPr>
  </w:style>
  <w:style w:type="paragraph" w:styleId="Referenes">
    <w:name w:val="referenes"/>
    <w:basedOn w:val="Normal"/>
    <w:pPr/>
    <w:rPr>
      <w:rFonts w:eastAsia="RODDJZ+DiverdaSansCom-Light"/>
      <w:color w:val="1F1E21"/>
      <w:lang w:eastAsia="ar-SA" w:bidi="ar-SA"/>
    </w:rPr>
  </w:style>
  <w:style w:type="paragraph" w:styleId="Normalsmall">
    <w:name w:val="Normal small"/>
    <w:basedOn w:val="Normal"/>
    <w:pPr>
      <w:jc w:val="left"/>
    </w:pPr>
    <w:rPr>
      <w:sz w:val="20"/>
      <w:szCs w:val="20"/>
    </w:rPr>
  </w:style>
  <w:style w:type="paragraph" w:styleId="Boldsmall">
    <w:name w:val="Bold small"/>
    <w:basedOn w:val="Normalsmall"/>
    <w:pPr/>
    <w:rPr>
      <w:b/>
    </w:rPr>
  </w:style>
  <w:style w:type="paragraph" w:styleId="Desc">
    <w:name w:val="desc"/>
    <w:basedOn w:val="Normal"/>
    <w:pPr>
      <w:spacing w:before="0" w:after="280"/>
      <w:jc w:val="left"/>
    </w:pPr>
    <w:rPr>
      <w:rFonts w:eastAsia="Times New Roman"/>
      <w:lang w:val="en-US" w:eastAsia="en-US" w:bidi="ar-SA"/>
    </w:rPr>
  </w:style>
  <w:style w:type="paragraph" w:styleId="Details">
    <w:name w:val="details"/>
    <w:basedOn w:val="Normal"/>
    <w:pPr>
      <w:spacing w:before="0" w:after="280"/>
      <w:jc w:val="left"/>
    </w:pPr>
    <w:rPr>
      <w:rFonts w:eastAsia="Times New Roman"/>
      <w:lang w:val="en-US" w:eastAsia="en-US" w:bidi="ar-SA"/>
    </w:rPr>
  </w:style>
  <w:style w:type="paragraph" w:styleId="Endnotetext">
    <w:name w:val="endnote text"/>
    <w:basedOn w:val="Normal"/>
    <w:pPr/>
    <w:rPr>
      <w:rFonts w:cs="Mangal"/>
      <w:sz w:val="20"/>
      <w:szCs w:val="18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ContentsHeading">
    <w:name w:val="Contents Heading"/>
    <w:basedOn w:val="Heading1"/>
    <w:next w:val="Normal"/>
    <w:pPr>
      <w:keepLines/>
      <w:widowControl/>
      <w:suppressAutoHyphens w:val="false"/>
      <w:spacing w:lineRule="auto" w:line="254" w:before="238" w:after="0"/>
      <w:jc w:val="left"/>
    </w:pPr>
    <w:rPr>
      <w:rFonts w:ascii="Calibri Light" w:hAnsi="Calibri Light"/>
      <w:b w:val="false"/>
      <w:bCs w:val="false"/>
      <w:color w:val="2E74B5"/>
      <w:sz w:val="32"/>
      <w:szCs w:val="32"/>
      <w:lang w:val="en-US" w:eastAsia="en-US" w:bidi="ar-SA"/>
    </w:rPr>
  </w:style>
  <w:style w:type="paragraph" w:styleId="Contents2">
    <w:name w:val="Contents 2"/>
    <w:basedOn w:val="Normal"/>
    <w:next w:val="Normal"/>
    <w:autoRedefine/>
    <w:pPr>
      <w:ind w:left="240" w:right="0" w:hanging="0"/>
    </w:pPr>
    <w:rPr>
      <w:rFonts w:cs="Mangal"/>
      <w:szCs w:val="21"/>
    </w:rPr>
  </w:style>
  <w:style w:type="paragraph" w:styleId="Contents3">
    <w:name w:val="Contents 3"/>
    <w:basedOn w:val="Normal"/>
    <w:next w:val="Normal"/>
    <w:autoRedefine/>
    <w:pPr>
      <w:ind w:left="480" w:right="0" w:hanging="0"/>
    </w:pPr>
    <w:rPr>
      <w:rFonts w:cs="Mangal"/>
      <w:szCs w:val="21"/>
    </w:rPr>
  </w:style>
  <w:style w:type="paragraph" w:styleId="TableContents">
    <w:name w:val="Table Contents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niprot.org/uniprot/P51570" TargetMode="External"/><Relationship Id="rId3" Type="http://schemas.openxmlformats.org/officeDocument/2006/relationships/hyperlink" Target="http://www.omim.org/entry/23020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2015-12-02T15:16:59Z</dcterms:created>
  <dc:creator>Matthias König</dc:creator>
  <dc:language>en-US</dc:language>
  <dcterms:modified xsi:type="dcterms:W3CDTF">2016-04-12T14:52:41Z</dcterms:modified>
  <cp:revision>1</cp:revision>
</cp:coreProperties>
</file>