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sz w:val="40"/>
        </w:rPr>
        <w:t>软件技术服务模拟合同</w:t>
      </w:r>
    </w:p>
    <w:p>
      <w:r>
        <w:t>合同编号：SIM-2026-1029-001    签订地点：上海市浦东新区</w:t>
      </w:r>
    </w:p>
    <w:p>
      <w:r>
        <w:t>本合同为虚构测试材料，仅供合同预审演示使用。主体、地址、人员及交易均为模拟信息，不作为实际签约文本。</w:t>
      </w:r>
    </w:p>
    <w:p>
      <w:r>
        <w:t>甲方（委托方）：上海星澜商贸有限公司（虚构）</w:t>
        <w:br/>
        <w:t>联系地址：上海市浦东新区示例路100号</w:t>
        <w:br/>
        <w:t>项目联系人：陈一（虚构）    邮箱：buyer@example.com</w:t>
      </w:r>
    </w:p>
    <w:p>
      <w:r>
        <w:t>乙方（服务方）：杭州云舟科技有限公司（虚构）</w:t>
        <w:br/>
        <w:t>联系地址：杭州市滨江区模拟路200号</w:t>
        <w:br/>
        <w:t>项目联系人：林二（虚构）    邮箱：vendor@example.com</w:t>
      </w:r>
    </w:p>
    <w:p>
      <w:r>
        <w:t>甲乙双方就合同管理系统开发及维护服务，经协商订立本合同。</w:t>
      </w:r>
    </w:p>
    <w:p>
      <w:pPr>
        <w:pStyle w:val="Heading1"/>
      </w:pPr>
      <w:r>
        <w:t>第一条 服务内容</w:t>
      </w:r>
    </w:p>
    <w:p>
      <w:r>
        <w:t>1.1 乙方为甲方开发合同管理系统，包括合同上传、文字识别、条款检索、风险提示、审批流和审查报告导出功能，供甲方内部使用。系统支持PDF和DOCX文件，部署于甲方指定的云服务器。</w:t>
      </w:r>
    </w:p>
    <w:p>
      <w:r>
        <w:t>1.2 乙方交付可部署的软件安装包、数据库结构说明、操作手册及一次远程培训。服务账号数量不超过50个，日处理合同不超过200份，具体性能以乙方届时提供的产品说明为准。</w:t>
      </w:r>
    </w:p>
    <w:p>
      <w:r>
        <w:t>1.3 乙方提供风险提示辅助功能，甲方应由具备相应职责的人员复核输出结果后作出业务决策。新增功能由双方另行确认费用及工期。</w:t>
      </w:r>
    </w:p>
    <w:p>
      <w:pPr>
        <w:pStyle w:val="Heading1"/>
      </w:pPr>
      <w:r>
        <w:t>第二条 项目期限</w:t>
      </w:r>
    </w:p>
    <w:p>
      <w:r>
        <w:t>2.1 项目自2026年11月2日启动，乙方于2026年11月13日前完成需求确认，于2026年12月4日前提供测试版本，于2026年12月18日前提交正式版本。</w:t>
      </w:r>
    </w:p>
    <w:p>
      <w:r>
        <w:t>2.2 甲方应在乙方通知后3个工作日内提供接口、测试数据及部署环境。因甲方延迟配合导致的工期顺延，由乙方根据项目实际情况确定。</w:t>
      </w:r>
    </w:p>
    <w:p>
      <w:pPr>
        <w:pStyle w:val="Heading1"/>
      </w:pPr>
      <w:r>
        <w:t>第三条 合同价款及付款</w:t>
      </w:r>
    </w:p>
    <w:p>
      <w:r>
        <w:t>3.1 合同含税总价为人民币120,000元（大写：人民币壹拾贰万元整），适用增值税税率为6%，乙方按实际收款金额开具合法有效的增值税专用发票。</w:t>
      </w:r>
    </w:p>
    <w:p>
      <w:r>
        <w:t>3.2 甲方于合同生效后5个工作日内支付70%，即84,000元；乙方提交正式版本后5个工作日内支付剩余30%，即36,000元。付款不以甲方完成验收为前提。</w:t>
      </w:r>
    </w:p>
    <w:p>
      <w:r>
        <w:t>3.3 收款账户应为乙方书面指定的同名对公账户；本模拟合同不提供真实银行账号。乙方可根据服务成本调整后续维护费用，并提前10日通知甲方。</w:t>
      </w:r>
    </w:p>
    <w:p>
      <w:r>
        <w:br w:type="page"/>
      </w:r>
    </w:p>
    <w:p>
      <w:pPr>
        <w:pStyle w:val="Heading1"/>
      </w:pPr>
      <w:r>
        <w:t>第四条 交付及验收</w:t>
      </w:r>
    </w:p>
    <w:p>
      <w:r>
        <w:t>4.1 乙方通过本合同列明的甲方邮箱发送下载链接及交付通知，即完成相应交付。下载链接有效期为7日，甲方应自行下载和备份。</w:t>
      </w:r>
    </w:p>
    <w:p>
      <w:r>
        <w:t>4.2 甲方应在交付通知发出后3个工作日内提出书面异议，逾期未提出异议或开始使用任一功能的，视为全部交付成果验收合格。</w:t>
      </w:r>
    </w:p>
    <w:p>
      <w:r>
        <w:t>4.3 验收以系统能够运行主要功能为标准。对风险提示准确率、识别准确率、响应时间及并发能力，双方不另设量化指标；一般缺陷不影响验收及付款。乙方在收到缺陷清单后合理期限内修复。</w:t>
      </w:r>
    </w:p>
    <w:p>
      <w:pPr>
        <w:pStyle w:val="Heading1"/>
      </w:pPr>
      <w:r>
        <w:t>第五条 维护及服务支持</w:t>
      </w:r>
    </w:p>
    <w:p>
      <w:r>
        <w:t>5.1 乙方自验收合格之日起提供12个月维护服务，包括故障处理和现有功能缺陷修复。服务时间为工作日9时至18时，乙方原则上于收到问题后2个工作日内响应。</w:t>
      </w:r>
    </w:p>
    <w:p>
      <w:r>
        <w:t>5.2 因第三方接口、云服务、网络或安全策略变化导致的系统异常，乙方不承担服务中断责任；相应适配工作如产生额外成本，由甲方另行承担。</w:t>
      </w:r>
    </w:p>
    <w:p>
      <w:r>
        <w:t>5.3 乙方可将开发、文字识别或模型推理工作委托给第三方，无需另行取得甲方同意。乙方负责对接并督促第三方完成服务。</w:t>
      </w:r>
    </w:p>
    <w:p>
      <w:pPr>
        <w:pStyle w:val="Heading1"/>
      </w:pPr>
      <w:r>
        <w:t>第六条 知识产权</w:t>
      </w:r>
    </w:p>
    <w:p>
      <w:r>
        <w:t>6.1 甲方提供的合同文本、商标和业务资料的相关权利归甲方或合法权利人所有。乙方既有软件、算法、工具和通用组件的知识产权归乙方所有。</w:t>
      </w:r>
    </w:p>
    <w:p>
      <w:r>
        <w:t>6.2 乙方为本项目形成的软件代码、配置及其他开发成果的知识产权均归乙方所有；甲方在付清价款后取得非独占、不可转让的内部使用许可。乙方无须交付源代码。</w:t>
      </w:r>
    </w:p>
    <w:p>
      <w:r>
        <w:t>6.3 乙方可将项目中形成的通用功能用于其他客户项目。第三方主张交付成果侵犯其知识产权时，乙方可自行选择修改、替换相关功能或退还该功能对应费用，退费后不再承担其他责任。</w:t>
      </w:r>
    </w:p>
    <w:p>
      <w:pPr>
        <w:pStyle w:val="Heading1"/>
      </w:pPr>
      <w:r>
        <w:t>第七条 保密及数据处理</w:t>
      </w:r>
    </w:p>
    <w:p>
      <w:r>
        <w:t>7.1 双方对履约中获知的商业秘密及未公开信息负有保密义务，未经对方书面同意不得向无关第三方披露；依法必须披露的，应在法律允许的范围内提前通知对方。保密义务在合同终止后持续2年。</w:t>
      </w:r>
    </w:p>
    <w:p>
      <w:r>
        <w:t>7.2 为优化产品，乙方可保留甲方上传的合同文本及系统日志，并在脱敏后用于模型训练和产品分析。脱敏方法、保存地点及保存期限由乙方按照内部制度确定。</w:t>
      </w:r>
    </w:p>
    <w:p>
      <w:r>
        <w:t>7.3 甲方应保证其提供资料具有合法来源及必要授权。涉及个人信息处理的，双方应遵守适用法律；本合同未另行约定受托处理范围、第三方名单及数据安全事件通知期限。</w:t>
      </w:r>
    </w:p>
    <w:p>
      <w:r>
        <w:t>7.4 合同终止后，乙方按照甲方书面申请提供一次数据导出服务，导出费用另行协商；乙方可在合同终止30日后清理在线数据，备份数据按其备份周期处理。</w:t>
      </w:r>
    </w:p>
    <w:p>
      <w:r>
        <w:br w:type="page"/>
      </w:r>
    </w:p>
    <w:p>
      <w:pPr>
        <w:pStyle w:val="Heading1"/>
      </w:pPr>
      <w:r>
        <w:t>第八条 违约责任</w:t>
      </w:r>
    </w:p>
    <w:p>
      <w:r>
        <w:t>8.1 甲方逾期付款的，每日按逾期金额的0.5%支付违约金；逾期超过10日，乙方有权暂停服务，暂停期间仍计收维护费用。</w:t>
      </w:r>
    </w:p>
    <w:p>
      <w:r>
        <w:t>8.2 因乙方原因逾期交付的，每日按合同总价的0.02%向甲方支付违约金，累计不超过合同总价的2%。因第三方或技术原因造成的延期不计入乙方逾期。</w:t>
      </w:r>
    </w:p>
    <w:p>
      <w:r>
        <w:t>8.3 除法律另有强制性规定外，乙方因本合同承担的全部赔偿责任累计不超过合同总价的10%，且不赔偿甲方数据恢复费用、停业损失及对第三方的赔偿。该责任限制适用于保密义务、数据处理及知识产权条款。</w:t>
      </w:r>
    </w:p>
    <w:p>
      <w:pPr>
        <w:pStyle w:val="Heading1"/>
      </w:pPr>
      <w:r>
        <w:t>第九条 合同解除及终止</w:t>
      </w:r>
    </w:p>
    <w:p>
      <w:r>
        <w:t>9.1 任一方严重违约且在收到对方书面通知后15日内未予改正的，守约方有权解除合同并依法主张责任。</w:t>
      </w:r>
    </w:p>
    <w:p>
      <w:r>
        <w:t>9.2 甲方提前终止合同的，已付款项不予退还，且应支付全部未付款项。乙方因业务调整可提前7日通知甲方解除合同，退还尚未履行部分对应费用，无须承担其他补偿责任。</w:t>
      </w:r>
    </w:p>
    <w:p>
      <w:r>
        <w:t>9.3 合同解除或终止不影响结算、保密、知识产权及争议解决条款的效力。乙方配合迁移、接口开放和技术交接的范围及费用，由双方另行协商。</w:t>
      </w:r>
    </w:p>
    <w:p>
      <w:pPr>
        <w:pStyle w:val="Heading1"/>
      </w:pPr>
      <w:r>
        <w:t>第十条 不可抗力</w:t>
      </w:r>
    </w:p>
    <w:p>
      <w:r>
        <w:t>10.1 因不可抗力不能履行合同的一方，应及时通知对方，并在合理期限内提供证明，根据影响程度依法部分或全部免除责任。受影响方应采取合理措施减少损失。</w:t>
      </w:r>
    </w:p>
    <w:p>
      <w:r>
        <w:t>10.2 不可抗力持续超过30日，双方应协商继续履行或解除合同。已完成工作对应价款及预付款余额，按实际履行情况结算。</w:t>
      </w:r>
    </w:p>
    <w:p>
      <w:pPr>
        <w:pStyle w:val="Heading1"/>
      </w:pPr>
      <w:r>
        <w:t>第十一条 通知及争议解决</w:t>
      </w:r>
    </w:p>
    <w:p>
      <w:r>
        <w:t>11.1 双方确认本合同列明的邮箱为履约通知地址。电子邮件发出当日视为送达；联系人或邮箱变更，应提前3个工作日书面通知对方。</w:t>
      </w:r>
    </w:p>
    <w:p>
      <w:r>
        <w:t>11.2 本合同适用中华人民共和国大陆地区法律。因本合同发生的争议，双方先行协商；协商不成的，任一方可向乙方住所地有管辖权的人民法院提起诉讼，也可提交杭州仲裁委员会仲裁。</w:t>
      </w:r>
    </w:p>
    <w:p>
      <w:pPr>
        <w:pStyle w:val="Heading1"/>
      </w:pPr>
      <w:r>
        <w:t>第十二条 生效及其他</w:t>
      </w:r>
    </w:p>
    <w:p>
      <w:r>
        <w:t>12.1 本合同自双方盖章之日起生效，一式两份，甲乙双方各执一份。合同变更须经双方书面确认。</w:t>
      </w:r>
    </w:p>
    <w:p>
      <w:r>
        <w:t>12.2 本合同未附独立的需求规格说明书、验收测试清单或数据处理协议。双方项目联系人的电子邮件确认可作为履约依据。</w:t>
      </w:r>
    </w:p>
    <w:p>
      <w:r>
        <w:t>甲方：上海星澜商贸有限公司（虚构）    乙方：杭州云舟科技有限公司（虚构）</w:t>
      </w:r>
    </w:p>
    <w:p>
      <w:r>
        <w:t>授权代表签字：________________      授权代表签字：________________</w:t>
      </w:r>
    </w:p>
    <w:p>
      <w:r>
        <w:t>盖章：________________________      盖章：________________________</w:t>
      </w:r>
    </w:p>
    <w:p>
      <w:r>
        <w:t>签署日期：______年____月____日      签署日期：______年____月____日</w:t>
      </w:r>
    </w:p>
    <w:sectPr w:rsidR="00FC693F" w:rsidRPr="0006063C" w:rsidSect="00034616">
      <w:footerReference w:type="default" r:id="rId9"/>
      <w:pgSz w:w="11906" w:h="16838"/>
      <w:pgMar w:top="119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模拟测试材料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8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软件技术服务模拟合同</dc:title>
  <dc:subject>合同预审模拟测试材料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