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。为给出严格配对证据，本文在 300 个任务（MultiHiertt 100、TAT-QA 200，任务标识与协议污染经审计，三臂一次统一会话执行，抽取失败即判失败、不重试、不喂标准事实）上重测了三臂分解基准：</w:t>
      </w:r>
      <w:r>
        <w:rPr>
          <w:b/>
        </w:rPr>
        <w:t xml:space="preserve">Mono-L vs DAG-L/L</w:t>
      </w:r>
      <w:r>
        <w:t xml:space="preserve"> </w:t>
      </w:r>
      <w:r>
        <w:t xml:space="preserve">显示拆分本身在 MultiHiertt 上为 +6.0pp（CI [−2,+14]，不显著；旧 +14.0pp 系协议不净所致，予以撤回），在 TAT-QA 上为 −21.0pp（CI [−28.5,−13.5]，p≈4×10⁻⁷，显著有害）；</w:t>
      </w:r>
      <w:r>
        <w:rPr>
          <w:b/>
        </w:rPr>
        <w:t xml:space="preserve">DAG-L/L vs DAG-L/M</w:t>
      </w:r>
      <w:r>
        <w:t xml:space="preserve"> </w:t>
      </w:r>
      <w:r>
        <w:t xml:space="preserve">显示拆分后的异构阶段分工带来总体 +5.0pp（CI [+1.3,+8.7]，p=0.014；其中 TAT-QA +8.5pp 显著、MultiHiertt −2pp 不显著），且几乎不增加 token。结论：</w:t>
      </w:r>
      <w:r>
        <w:rPr>
          <w:b/>
        </w:rPr>
        <w:t xml:space="preserve">分解本身不是收益来源，其价值在于解除阶段间的同模型绑定、使异构能力分配成为可能</w:t>
      </w:r>
      <w:r>
        <w:t xml:space="preserve">；在接口损耗大的域（TAT-QA）上应当谨慎使用同模型分解，而阶段分工的收益跨两域方向一致。复杂度分层显示该模式在 1–2 步与 3 步子层上方向一致（子层样本较小，仅作描述）。</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5-5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5-6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5-7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5-8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5-9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5-10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2"/>
      </w:pPr>
      <w:bookmarkStart w:id="61" w:name="讨论"/>
      <w:r>
        <w:t xml:space="preserve">6 讨论</w:t>
      </w:r>
      <w:bookmarkEnd w:id="61"/>
    </w:p>
    <w:p>
      <w:pPr>
        <w:pStyle w:val="Heading3"/>
      </w:pPr>
      <w:bookmarkStart w:id="62" w:name="条件能力与传播能力的区别"/>
      <w:r>
        <w:t xml:space="preserve">6.1 条件能力与传播能力的区别</w:t>
      </w:r>
      <w:bookmarkEnd w:id="62"/>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3" w:name="单模型可预测性不等于最优模型可路由性"/>
      <w:r>
        <w:t xml:space="preserve">6.2 单模型可预测性不等于最优模型可路由性</w:t>
      </w:r>
      <w:bookmarkEnd w:id="63"/>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4" w:name="选择性干预的作用与边界"/>
      <w:r>
        <w:t xml:space="preserve">6.3 选择性干预的作用与边界</w:t>
      </w:r>
      <w:bookmarkEnd w:id="64"/>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5" w:name="能力覆盖与动作选择的不同上限"/>
      <w:r>
        <w:t xml:space="preserve">6.4 能力覆盖与动作选择的不同上限</w:t>
      </w:r>
      <w:bookmarkEnd w:id="65"/>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6" w:name="资源约束与历史复用的作用层次"/>
      <w:r>
        <w:t xml:space="preserve">6.5 资源约束与历史复用的作用层次</w:t>
      </w:r>
      <w:bookmarkEnd w:id="66"/>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7" w:name="有效性限制"/>
      <w:r>
        <w:t xml:space="preserve">6.6 有效性限制</w:t>
      </w:r>
      <w:bookmarkEnd w:id="67"/>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2"/>
      </w:pPr>
      <w:bookmarkStart w:id="68" w:name="结论"/>
      <w:r>
        <w:t xml:space="preserve">7 结论</w:t>
      </w:r>
      <w:bookmarkEnd w:id="6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69" w:name="参考文献"/>
      <w:r>
        <w:t xml:space="preserve">参考文献</w:t>
      </w:r>
      <w:bookmarkEnd w:id="69"/>
    </w:p>
    <w:p>
      <w:pPr>
        <w:pStyle w:val="FirstParagraph"/>
      </w:pPr>
      <w:r>
        <w:t xml:space="preserve">[1] Ong, I., et al. RouteLLM: Learning to Route LLMs with Preference Data. 2024. arXiv:2406.18665.</w:t>
      </w:r>
      <w:r>
        <w:t xml:space="preserve"> </w:t>
      </w:r>
      <w:hyperlink r:id="rId7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6">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2026-09-21T08:29:49Z</dcterms:created>
  <dcterms:modified xsi:type="dcterms:W3CDTF">2026-09-21T08:29:49Z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