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个百分点，主要收益来自阶段粒度；跨模型传播显示，上游输入来源能够改变下游优势，条件能力不能直接等同于传播能力。严格配对的三臂分解基准（300 任务、一次统一会话）进一步表明：同模型拆分本身在 TAT-QA 上显著有害（−21.0pp）、在 MultiHiertt 上不显著（+6.0pp），而拆分后的异构阶段分工带来总体 +5.0pp 的显著增益——分解的价值在于解除阶段绑定、使异构能力分配成为可能，而非拆分本身。在枚举的 3×3 抽取—推理模型组合空间内，精确 Oracle 为 30.5%，最佳固定组合为 20.5%，但剩余差距未被当前选择器稳定利用。理想失败检测条件下的 48 任务真实调用比较中，动态第二版由静态的 52.1% 提高至 54.2%，差异不显著；在 250 个全新任务上的一次性冻结确认中该效应方向复现（+2.8pp，95% CI [−0.8,+6.4]），仍未达统计显著。而在含分支与汇合的四节点真实 DAG 面板上，选择性动态适应显著优于静态执行（36.7% 对 16.7%，+20.0pp，95% CI [11.7,28.3]，Help/Harm 28/4），且 933 次适配调用全部限于受影响后代闭包、分支隔离检查零违例、预算违规为零。对照消融显示增益主要来自失败节点升级至最强未试模型的动作（同目标静态对照 35.0%），而将失败检测全部换成部署可得信号（解析/执行与输出一致性检查，无 gold 参考）仍保留 91.7% 的增益——动态收益不依赖理想失败检测。跨域正式验证（数学与代码各 100 个冻结任务、六臂对照）给出适用边界：代码域中单元测试提供确定性失败反馈，反馈驱动的动态 DAG 相对静态提升 6.0pp（80.0% 对 74.0%，bootstrap 置信区间 [+1,+12] 不含零、但精确 McNemar 检验在 0.05 水平未达显著，属支持性证据；成本上升 11.9%、预算越限 22/100）；数学域中冻结的阶段分配先验与验证接口同时失配，DAG 全面劣于单体（54% 对 13%—16%）。在相同模型池、任务与评分器上的外部方法比较进一步表明：查询级学习路由退化为始终选择大模型，成本感知级联与答案级迭代精修随置信信号质量在财务域与代码域符号反转，答案级精修在代码域点估计最高但与本文动态方法的配对差异未达显著。统一命题为：</w:t>
      </w:r>
      <w:r>
        <w:rPr>
          <w:b/>
        </w:rPr>
        <w:t xml:space="preserve">多模型 DAG 协同并非天然带来性能提升，其有效性取决于阶段能力匹配、节点接口表达能力和运行反馈可诊断性</w:t>
      </w:r>
      <w:r>
        <w:t xml:space="preserve">；本文方法的贡献定位于节点级、依赖感知、局部且可审计的动态执行机制，而非所有任务域的原始准确率领先。</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级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BodyText"/>
      </w:pPr>
      <w:r>
        <w:rPr>
          <w:b/>
        </w:rPr>
        <w:t xml:space="preserve">本文的中心命题是：多模型 DAG 协同并非天然带来性能提升，其有效性取决于阶段能力匹配、节点接口表达能力和运行反馈可诊断性；DAG 的核心作用是解除阶段能力绑定，而 Dynamic 的作用是在反馈和预算约束下选择性调用已有能力。</w:t>
      </w:r>
      <w:r>
        <w:t xml:space="preserve">全文的实验与讨论都围绕这一命题组织。</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能力异质性；随后考察实际输入传播如何改变可用能力；再通过严格配对分解、跨模型组合和有限空间的精确事后上界定位剩余机会；最后检验选择性路由、静态与动态恢复、预算约束能否利用这些机会，并把同一套问题推向财务之外的数学与代码任务域。模型成功预测具有信号，并不意味着实例级最佳模型能够稳定预测；存在正 Oracle 差距，也不意味着该差距可以由当前表示与监督充分恢复。</w:t>
      </w:r>
    </w:p>
    <w:p>
      <w:pPr>
        <w:pStyle w:val="Heading3"/>
      </w:pPr>
      <w:bookmarkStart w:id="25" w:name="贡献"/>
      <w:r>
        <w:t xml:space="preserve">1.3 贡献</w:t>
      </w:r>
      <w:bookmarkEnd w:id="25"/>
    </w:p>
    <w:p>
      <w:pPr>
        <w:pStyle w:val="FirstParagraph"/>
      </w:pPr>
      <w:r>
        <w:t xml:space="preserve">第一，</w:t>
      </w:r>
      <w:r>
        <w:rPr>
          <w:b/>
        </w:rPr>
        <w:t xml:space="preserve">节点级异构协同</w:t>
      </w:r>
      <w:r>
        <w:t xml:space="preserve">。通过能力画像和任务分解，把整题级模型选择转化为阶段级模型分配，并区分条件能力与传播能力。严格配对分解基准与跨模型传播实验共同表明，DAG 的核心作用是解除执行阶段之间的同模型绑定，使阶段级异构能力分配成为可能，而不是普遍提高推理精度。</w:t>
      </w:r>
    </w:p>
    <w:p>
      <w:pPr>
        <w:pStyle w:val="BodyText"/>
      </w:pPr>
      <w:r>
        <w:t xml:space="preserve">第二，</w:t>
      </w:r>
      <w:r>
        <w:rPr>
          <w:b/>
        </w:rPr>
        <w:t xml:space="preserve">反馈驱动 Dynamic DAG</w:t>
      </w:r>
      <w:r>
        <w:t xml:space="preserve">。根据运行状态对失败节点及受影响后继进行局部、选择性、预算感知的调整。归因消融显示，四节点面板上动态相对静态的 +20.0pp 中主要增益来自</w:t>
      </w:r>
      <w:r>
        <w:t xml:space="preserve">“</w:t>
      </w:r>
      <w:r>
        <w:t xml:space="preserve">失败节点升级至最强未试模型</w:t>
      </w:r>
      <w:r>
        <w:t xml:space="preserve">”</w:t>
      </w:r>
      <w:r>
        <w:t xml:space="preserve">这一动作本身，动态框架的可确证价值在于以选择性更新与预算约束安全地承载该动作；失败检测在部署边界内使用部署可得信号（解析/执行/一致性/单元测试），不依赖标准答案。</w:t>
      </w:r>
    </w:p>
    <w:p>
      <w:pPr>
        <w:pStyle w:val="BodyText"/>
      </w:pPr>
      <w:r>
        <w:t xml:space="preserve">第三，</w:t>
      </w:r>
      <w:r>
        <w:rPr>
          <w:b/>
        </w:rPr>
        <w:t xml:space="preserve">适用边界机制分析</w:t>
      </w:r>
      <w:r>
        <w:t xml:space="preserve">。通过严格配对、精确 Oracle、恢复覆盖与 Finance / MBPP / Math500 正负对照及外部方法比较，揭示 DAG 协同受到能力匹配、接口表达能力和反馈可诊断性的共同制约：反馈驱动的 DAG 调整并非跨域自动有效，其收益条件在正反两个方向上均有冻结协议证据。</w:t>
      </w:r>
    </w:p>
    <w:p>
      <w:pPr>
        <w:pStyle w:val="Heading3"/>
      </w:pPr>
      <w:bookmarkStart w:id="26" w:name="论文组织"/>
      <w:r>
        <w:t xml:space="preserve">1.4 论文组织</w:t>
      </w:r>
      <w:bookmarkEnd w:id="26"/>
    </w:p>
    <w:p>
      <w:pPr>
        <w:pStyle w:val="FirstParagraph"/>
      </w:pPr>
      <w:r>
        <w:t xml:space="preserve">第 2 章回顾相关工作；第 3 章给出框架与方法；第 4 章按研究问题组织实验，从能力异质性、分解与能力解耦、节点级分配、条件与传播能力、组合上界、静态与动态执行、恢复与预算、历史图复用，最后到跨域适用边界与外部方法比较；第 5 章围绕分解成本、传播瓶颈、候选上限与有效条件四个问题展开讨论；第 6 章总结全文。</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DAG→静态／动态执行→选择性调整→预算控制→历史图复用。该顺序描述逻辑依赖：控制器在图构造前获得任务需求与资源偏好，具体节点分配在节点定义后完成，不另引入未实现的路由网络。</w:t>
      </w:r>
    </w:p>
    <w:p>
      <w:pPr>
        <w:pStyle w:val="Heading3"/>
      </w:pPr>
      <w:bookmarkStart w:id="34" w:name="模型能力画像"/>
      <w:r>
        <w:t xml:space="preserve">3.2 模型能力画像</w:t>
      </w:r>
      <w:bookmarkEnd w:id="34"/>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5" w:name="复杂任务分解与初始依赖图"/>
      <w:r>
        <w:t xml:space="preserve">3.3 复杂任务分解与初始依赖图</w:t>
      </w:r>
      <w:bookmarkEnd w:id="35"/>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6" w:name="能力感知节点路由"/>
      <w:r>
        <w:t xml:space="preserve">3.4 能力感知节点路由</w:t>
      </w:r>
      <w:bookmarkEnd w:id="36"/>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7" w:name="静态依赖图执行"/>
      <w:r>
        <w:t xml:space="preserve">3.5 静态依赖图执行</w:t>
      </w:r>
      <w:bookmarkEnd w:id="37"/>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8" w:name="动态依赖图调整"/>
      <w:r>
        <w:t xml:space="preserve">3.6 动态依赖图调整</w:t>
      </w:r>
      <w:bookmarkEnd w:id="38"/>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任务动态试验通过评价答案触发推理回退并更新失败计数，属于理想失败检测条件下的真实调用。本文以此评价给定可靠判定后的调度行为，不声称已完成无标准答案的在线闭环验证。</w:t>
      </w:r>
    </w:p>
    <w:p>
      <w:pPr>
        <w:pStyle w:val="Heading3"/>
      </w:pPr>
      <w:bookmarkStart w:id="39" w:name="选择性调整"/>
      <w:r>
        <w:t xml:space="preserve">3.7 选择性调整</w:t>
      </w:r>
      <w:bookmarkEnd w:id="39"/>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0" w:name="预算感知恢复"/>
      <w:r>
        <w:t xml:space="preserve">3.8 预算感知恢复</w:t>
      </w:r>
      <w:bookmarkEnd w:id="40"/>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1" w:name="历史任务图复用"/>
      <w:r>
        <w:t xml:space="preserve">3.9 历史任务图复用</w:t>
      </w:r>
      <w:bookmarkEnd w:id="41"/>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2" w:name="多目标与约束决策"/>
      <w:r>
        <w:t xml:space="preserve">3.10 多目标与约束决策</w:t>
      </w:r>
      <w:bookmarkEnd w:id="42"/>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非支配分析用于显示不同资源偏好下的候选权衡，不引入新多目标算法。资源相近时，质量差异是主要决策依据；预算收紧时，C/L 决定某一方案是否可行。</w:t>
      </w:r>
    </w:p>
    <w:p>
      <w:pPr>
        <w:pStyle w:val="BodyText"/>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3" w:name="实验"/>
      <w:r>
        <w:t xml:space="preserve">4 实验</w:t>
      </w:r>
      <w:bookmarkEnd w:id="43"/>
    </w:p>
    <w:p>
      <w:pPr>
        <w:pStyle w:val="FirstParagraph"/>
      </w:pPr>
      <w:r>
        <w:t xml:space="preserve">本章围绕一条递进的证据链组织：多模型 DAG 协同并非天然带来性能提升，其有效性取决于</w:t>
      </w:r>
      <w:r>
        <w:rPr>
          <w:b/>
        </w:rPr>
        <w:t xml:space="preserve">阶段能力匹配、节点接口表达能力和运行反馈可诊断性</w:t>
      </w:r>
      <w:r>
        <w:t xml:space="preserve">；DAG 的核心作用是解除阶段能力绑定，而 Dynamic 的作用是在反馈和预算约束下选择性调用已有能力。各节按研究问题排列——能力异质性（4.2）、分解与能力解耦（4.3）、节点级分配（4.4）、条件与传播能力（4.5）、组合上界（4.6）、静态与动态执行（4.7）、恢复与预算（4.8）、历史图复用（4.9）与跨域适用边界（4.10）——并在结尾回到三个条件。所有面板、协议、评分器与任务清单均在调用前冻结并提交；主要结果编号与来源在 FINAL_CLAIM_AUDIT.md 中对应。</w:t>
      </w:r>
    </w:p>
    <w:p>
      <w:pPr>
        <w:pStyle w:val="Heading3"/>
      </w:pPr>
      <w:bookmarkStart w:id="44" w:name="实验设置"/>
      <w:r>
        <w:t xml:space="preserve">4.1 实验设置</w:t>
      </w:r>
      <w:bookmarkEnd w:id="44"/>
    </w:p>
    <w:p>
      <w:pPr>
        <w:pStyle w:val="FirstParagraph"/>
      </w:pPr>
      <w:r>
        <w:t xml:space="preserve">实验以 MultiHiertt 财务表文推理任务为主，并以 TAT-QA、MBPP（代码）与 Math500（数学）作为跨域面板。[6,7] 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严格配对分解基准</w:t>
            </w:r>
          </w:p>
        </w:tc>
        <w:tc>
          <w:tcPr>
            <w:tcW w:type="dxa" w:w="1701"/>
            <w:vAlign w:val="center"/>
          </w:tcPr>
          <w:p>
            <w:pPr>
              <w:spacing w:after="60" w:before="60" w:line="240" w:lineRule="auto"/>
            </w:pPr>
            <w:r>
              <w:rPr>
                <w:rFonts w:eastAsia="Noto Sans CJK SC"/>
                <w:b w:val="0"/>
                <w:sz w:val="18"/>
              </w:rPr>
              <w:t>300 任务（MH 100、TAT-QA 200）</w:t>
            </w:r>
          </w:p>
        </w:tc>
        <w:tc>
          <w:tcPr>
            <w:tcW w:type="dxa" w:w="2665"/>
            <w:vAlign w:val="center"/>
          </w:tcPr>
          <w:p>
            <w:pPr>
              <w:spacing w:after="60" w:before="60" w:line="240" w:lineRule="auto"/>
            </w:pPr>
            <w:r>
              <w:rPr>
                <w:rFonts w:eastAsia="Noto Sans CJK SC"/>
                <w:b w:val="0"/>
                <w:sz w:val="18"/>
              </w:rPr>
              <w:t>同题同模型同评分器，仅改执行结构</w:t>
            </w:r>
          </w:p>
        </w:tc>
        <w:tc>
          <w:tcPr>
            <w:tcW w:type="dxa" w:w="2891"/>
            <w:vAlign w:val="center"/>
          </w:tcPr>
          <w:p>
            <w:pPr>
              <w:spacing w:after="60" w:before="60" w:line="240" w:lineRule="auto"/>
            </w:pPr>
            <w:r>
              <w:rPr>
                <w:rFonts w:eastAsia="Noto Sans CJK SC"/>
                <w:b w:val="0"/>
                <w:sz w:val="18"/>
              </w:rPr>
              <w:t>FROZEN_BEFORE_EXECUTION，一次统一会话</w:t>
            </w:r>
          </w:p>
        </w:tc>
      </w:tr>
      <w:tr>
        <w:trPr>
          <w:cantSplit/>
        </w:trPr>
        <w:tc>
          <w:tcPr>
            <w:tcW w:type="dxa" w:w="2268"/>
            <w:vAlign w:val="center"/>
          </w:tcPr>
          <w:p>
            <w:pPr>
              <w:spacing w:after="60" w:before="60" w:line="240" w:lineRule="auto"/>
            </w:pPr>
            <w:r>
              <w:rPr>
                <w:rFonts w:eastAsia="Noto Sans CJK SC"/>
                <w:b w:val="0"/>
                <w:sz w:val="18"/>
              </w:rPr>
              <w:t>静态—动态（两节点链）</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静态—动态确认</w:t>
            </w:r>
          </w:p>
        </w:tc>
        <w:tc>
          <w:tcPr>
            <w:tcW w:type="dxa" w:w="1701"/>
            <w:vAlign w:val="center"/>
          </w:tcPr>
          <w:p>
            <w:pPr>
              <w:spacing w:after="60" w:before="60" w:line="240" w:lineRule="auto"/>
            </w:pPr>
            <w:r>
              <w:rPr>
                <w:rFonts w:eastAsia="Noto Sans CJK SC"/>
                <w:b w:val="0"/>
                <w:sz w:val="18"/>
              </w:rPr>
              <w:t>250 任务（TAT-QA train）</w:t>
            </w:r>
          </w:p>
        </w:tc>
        <w:tc>
          <w:tcPr>
            <w:tcW w:type="dxa" w:w="2665"/>
            <w:vAlign w:val="center"/>
          </w:tcPr>
          <w:p>
            <w:pPr>
              <w:spacing w:after="60" w:before="60" w:line="240" w:lineRule="auto"/>
            </w:pPr>
            <w:r>
              <w:rPr>
                <w:rFonts w:eastAsia="Noto Sans CJK SC"/>
                <w:b w:val="0"/>
                <w:sz w:val="18"/>
              </w:rPr>
              <w:t>同协议冻结确认</w:t>
            </w:r>
          </w:p>
        </w:tc>
        <w:tc>
          <w:tcPr>
            <w:tcW w:type="dxa" w:w="2891"/>
            <w:vAlign w:val="center"/>
          </w:tcPr>
          <w:p>
            <w:pPr>
              <w:spacing w:after="60" w:before="60" w:line="240" w:lineRule="auto"/>
            </w:pPr>
            <w:r>
              <w:rPr>
                <w:rFonts w:eastAsia="Noto Sans CJK SC"/>
                <w:b w:val="0"/>
                <w:sz w:val="18"/>
              </w:rPr>
              <w:t>一次性冻结，与全部历史工件零重叠</w:t>
            </w:r>
          </w:p>
        </w:tc>
      </w:tr>
      <w:tr>
        <w:trPr>
          <w:cantSplit/>
        </w:trPr>
        <w:tc>
          <w:tcPr>
            <w:tcW w:type="dxa" w:w="2268"/>
            <w:vAlign w:val="center"/>
          </w:tcPr>
          <w:p>
            <w:pPr>
              <w:spacing w:after="60" w:before="60" w:line="240" w:lineRule="auto"/>
            </w:pPr>
            <w:r>
              <w:rPr>
                <w:rFonts w:eastAsia="Noto Sans CJK SC"/>
                <w:b w:val="0"/>
                <w:sz w:val="18"/>
              </w:rPr>
              <w:t>四节点 DAG 静态—动态</w:t>
            </w:r>
          </w:p>
        </w:tc>
        <w:tc>
          <w:tcPr>
            <w:tcW w:type="dxa" w:w="1701"/>
            <w:vAlign w:val="center"/>
          </w:tcPr>
          <w:p>
            <w:pPr>
              <w:spacing w:after="60" w:before="60" w:line="240" w:lineRule="auto"/>
            </w:pPr>
            <w:r>
              <w:rPr>
                <w:rFonts w:eastAsia="Noto Sans CJK SC"/>
                <w:b w:val="0"/>
                <w:sz w:val="18"/>
              </w:rPr>
              <w:t>120 任务（含消融两臂）</w:t>
            </w:r>
          </w:p>
        </w:tc>
        <w:tc>
          <w:tcPr>
            <w:tcW w:type="dxa" w:w="2665"/>
            <w:vAlign w:val="center"/>
          </w:tcPr>
          <w:p>
            <w:pPr>
              <w:spacing w:after="60" w:before="60" w:line="240" w:lineRule="auto"/>
            </w:pPr>
            <w:r>
              <w:rPr>
                <w:rFonts w:eastAsia="Noto Sans CJK SC"/>
                <w:b w:val="0"/>
                <w:sz w:val="18"/>
              </w:rPr>
              <w:t>分支+汇合+尾节点，理想/真实检测</w:t>
            </w:r>
          </w:p>
        </w:tc>
        <w:tc>
          <w:tcPr>
            <w:tcW w:type="dxa" w:w="2891"/>
            <w:vAlign w:val="center"/>
          </w:tcPr>
          <w:p>
            <w:pPr>
              <w:spacing w:after="60" w:before="60" w:line="240" w:lineRule="auto"/>
            </w:pPr>
            <w:r>
              <w:rPr>
                <w:rFonts w:eastAsia="Noto Sans CJK SC"/>
                <w:b w:val="0"/>
                <w:sz w:val="18"/>
              </w:rPr>
              <w:t>预注册，策略先冻结后运行</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r>
        <w:trPr>
          <w:cantSplit/>
        </w:trPr>
        <w:tc>
          <w:tcPr>
            <w:tcW w:type="dxa" w:w="2268"/>
            <w:vAlign w:val="center"/>
          </w:tcPr>
          <w:p>
            <w:pPr>
              <w:spacing w:after="60" w:before="60" w:line="240" w:lineRule="auto"/>
            </w:pPr>
            <w:r>
              <w:rPr>
                <w:rFonts w:eastAsia="Noto Sans CJK SC"/>
                <w:b w:val="0"/>
                <w:sz w:val="18"/>
              </w:rPr>
              <w:t>跨域 Math500</w:t>
            </w:r>
          </w:p>
        </w:tc>
        <w:tc>
          <w:tcPr>
            <w:tcW w:type="dxa" w:w="1701"/>
            <w:vAlign w:val="center"/>
          </w:tcPr>
          <w:p>
            <w:pPr>
              <w:spacing w:after="60" w:before="60" w:line="240" w:lineRule="auto"/>
            </w:pPr>
            <w:r>
              <w:rPr>
                <w:rFonts w:eastAsia="Noto Sans CJK SC"/>
                <w:b w:val="0"/>
                <w:sz w:val="18"/>
              </w:rPr>
              <w:t>100 任务（分层冻结）</w:t>
            </w:r>
          </w:p>
        </w:tc>
        <w:tc>
          <w:tcPr>
            <w:tcW w:type="dxa" w:w="2665"/>
            <w:vAlign w:val="center"/>
          </w:tcPr>
          <w:p>
            <w:pPr>
              <w:spacing w:after="60" w:before="60" w:line="240" w:lineRule="auto"/>
            </w:pPr>
            <w:r>
              <w:rPr>
                <w:rFonts w:eastAsia="Noto Sans CJK SC"/>
                <w:b w:val="0"/>
                <w:sz w:val="18"/>
              </w:rPr>
              <w:t>计划式分解接口六臂</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跨域 MBPP</w:t>
            </w:r>
          </w:p>
        </w:tc>
        <w:tc>
          <w:tcPr>
            <w:tcW w:type="dxa" w:w="1701"/>
            <w:vAlign w:val="center"/>
          </w:tcPr>
          <w:p>
            <w:pPr>
              <w:spacing w:after="60" w:before="60" w:line="240" w:lineRule="auto"/>
            </w:pPr>
            <w:r>
              <w:rPr>
                <w:rFonts w:eastAsia="Noto Sans CJK SC"/>
                <w:b w:val="0"/>
                <w:sz w:val="18"/>
              </w:rPr>
              <w:t>100 任务（冻结）</w:t>
            </w:r>
          </w:p>
        </w:tc>
        <w:tc>
          <w:tcPr>
            <w:tcW w:type="dxa" w:w="2665"/>
            <w:vAlign w:val="center"/>
          </w:tcPr>
          <w:p>
            <w:pPr>
              <w:spacing w:after="60" w:before="60" w:line="240" w:lineRule="auto"/>
            </w:pPr>
            <w:r>
              <w:rPr>
                <w:rFonts w:eastAsia="Noto Sans CJK SC"/>
                <w:b w:val="0"/>
                <w:sz w:val="18"/>
              </w:rPr>
              <w:t>单元测试为确定性评分</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外部基线 addendum</w:t>
            </w:r>
          </w:p>
        </w:tc>
        <w:tc>
          <w:tcPr>
            <w:tcW w:type="dxa" w:w="1701"/>
            <w:vAlign w:val="center"/>
          </w:tcPr>
          <w:p>
            <w:pPr>
              <w:spacing w:after="60" w:before="60" w:line="240" w:lineRule="auto"/>
            </w:pPr>
            <w:r>
              <w:rPr>
                <w:rFonts w:eastAsia="Noto Sans CJK SC"/>
                <w:b w:val="0"/>
                <w:sz w:val="18"/>
              </w:rPr>
              <w:t>上述 300 任务面板</w:t>
            </w:r>
          </w:p>
        </w:tc>
        <w:tc>
          <w:tcPr>
            <w:tcW w:type="dxa" w:w="2665"/>
            <w:vAlign w:val="center"/>
          </w:tcPr>
          <w:p>
            <w:pPr>
              <w:spacing w:after="60" w:before="60" w:line="240" w:lineRule="auto"/>
            </w:pPr>
            <w:r>
              <w:rPr>
                <w:rFonts w:eastAsia="Noto Sans CJK SC"/>
                <w:b w:val="0"/>
                <w:sz w:val="18"/>
              </w:rPr>
              <w:t>同池同面板同评分器同预算</w:t>
            </w:r>
          </w:p>
        </w:tc>
        <w:tc>
          <w:tcPr>
            <w:tcW w:type="dxa" w:w="2891"/>
            <w:vAlign w:val="center"/>
          </w:tcPr>
          <w:p>
            <w:pPr>
              <w:spacing w:after="60" w:before="60" w:line="240" w:lineRule="auto"/>
            </w:pPr>
            <w:r>
              <w:rPr>
                <w:rFonts w:eastAsia="Noto Sans CJK SC"/>
                <w:b w:val="0"/>
                <w:sz w:val="18"/>
              </w:rPr>
              <w:t>冻结协议 one-shot</w:t>
            </w:r>
          </w:p>
        </w:tc>
      </w:tr>
    </w:tbl>
    <w:p>
      <w:pPr>
        <w:pStyle w:val="BodyText"/>
      </w:pPr>
      <w:r>
        <w:t xml:space="preserve">核心候选池固定为 medium、large、coder（Qwen2.5-7B-Instruct / Qwen2.5-14B-Instruct-GPTQ-Int8 / Qwen2.5-Coder-7B-Instruct），checkpoint 在每次服务启动时按 provenance 哈希校验；R1 不进入节点路由。生成配置统一为 temperature 0、top_p 1、max_tokens 512。实验在项目现有 GPU 与 vLLM 推理服务环境采集；本文不把服务时长总和称为包含加载、排队、调度的端到端墙钟延迟，也不从不同历史服务配置推断硬件加速。</w:t>
      </w:r>
    </w:p>
    <w:p>
      <w:pPr>
        <w:pStyle w:val="BodyText"/>
      </w:pPr>
      <w:r>
        <w:rPr>
          <w:b/>
        </w:rPr>
        <w:t xml:space="preserve">指标与统计口径</w:t>
      </w:r>
      <w:r>
        <w:t xml:space="preserve">。节点质量是指定评分器的平均分；任务成功率是最终答案正确的任务比例。成本记录 tokens，调用次数单独计算；时延采用记录的观测服务时间。Help 指默认错误而新策略正确，Harm 指默认正确而新策略错误。对参考策略 b 与相同候选空间 Oracle，差距恢复比例定义为 GR(r;b)=(Q_r−Q_b)/(Q_Oracle−Q_b)，分母须为正，且三项必须来自相同面板和评分口径。所有配对比较报告任务级配对差值 ΔQ、10 000 次配对 bootstrap 95% 区间（种子 20260916）与精确 McNemar 检验；区间包含零或 McNemar p≥0.05 时不称显著。</w:t>
      </w:r>
    </w:p>
    <w:p>
      <w:pPr>
        <w:pStyle w:val="BodyText"/>
      </w:pPr>
      <w:r>
        <w:rPr>
          <w:b/>
        </w:rPr>
        <w:t xml:space="preserve">冻结与信息边界</w:t>
      </w:r>
      <w:r>
        <w:t xml:space="preserve">。每个确认面板的协议与任务清单在任何调用前冻结并提交（FROZEN_BEFORE_EXECUTION），运行 one-shot，结果不做事后调整。标准答案、程序与必要操作数仅用于离线标签和评价，运行时反馈一律为部署可得信号（解析/执行/一致性/单元测试），不读取 gold。历史试验若使用标准事实、理想失败检测、事后已知开销或离线成功停止，则按相应条件解释；探索性诊断不提升为正式确认结果。</w:t>
      </w:r>
    </w:p>
    <w:p>
      <w:pPr>
        <w:pStyle w:val="Heading3"/>
      </w:pPr>
      <w:bookmarkStart w:id="45" w:name="阶段级模型能力异质性"/>
      <w:r>
        <w:t xml:space="preserve">4.2 阶段级模型能力异质性</w:t>
      </w:r>
      <w:bookmarkEnd w:id="45"/>
    </w:p>
    <w:p>
      <w:pPr>
        <w:pStyle w:val="FirstParagraph"/>
      </w:pPr>
      <w:r>
        <w:t xml:space="preserve">本节回答第一个研究问题：为什么整题级单模型选择不够。在 100 任务、493 个主要节点的冻结确认面板上，三候选模型分别执行节点，以扩展执行器统一评分。推理与验证采用基准规定的条件输入，因此本节首先测量阶段能力，而不是完整链成功率。</w:t>
      </w:r>
    </w:p>
    <w:p>
      <w:pPr>
        <w:pStyle w:val="BodyText"/>
        <w:keepNext/>
        <w:spacing w:before="160"/>
      </w:pPr>
      <w:r>
        <w:t xml:space="preserve">表 4-2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个百分点的差距。模型优势因阶段而异：同一模型池中不存在</w:t>
      </w:r>
      <w:r>
        <w:t xml:space="preserve">“</w:t>
      </w:r>
      <w:r>
        <w:t xml:space="preserve">所有阶段都最优</w:t>
      </w:r>
      <w:r>
        <w:t xml:space="preserve">”</w:t>
      </w:r>
      <w:r>
        <w:t xml:space="preserve">的单一模型，这为节点级选择提供了经验依据，也构成中心命题中</w:t>
      </w:r>
      <w:r>
        <w:t xml:space="preserve">“</w:t>
      </w:r>
      <w:r>
        <w:t xml:space="preserve">阶段能力匹配</w:t>
      </w:r>
      <w:r>
        <w:t xml:space="preserve">”</w:t>
      </w:r>
      <w:r>
        <w:t xml:space="preserve">条件的度量基础。Oracle 使用事后标签，不能直接证明这些机会可被输入特征预测——该问题在 4.4 检验。</w:t>
      </w:r>
    </w:p>
    <w:p>
      <w:pPr>
        <w:pStyle w:val="Heading3"/>
      </w:pPr>
      <w:bookmarkStart w:id="46" w:name="任务分解与能力解耦"/>
      <w:r>
        <w:t xml:space="preserve">4.3 任务分解与能力解耦</w:t>
      </w:r>
      <w:bookmarkEnd w:id="46"/>
    </w:p>
    <w:p>
      <w:pPr>
        <w:pStyle w:val="FirstParagraph"/>
      </w:pPr>
      <w:r>
        <w:t xml:space="preserve">本节回答：把整题拆成节点后，质量变化来自</w:t>
      </w:r>
      <w:r>
        <w:t xml:space="preserve">“</w:t>
      </w:r>
      <w:r>
        <w:t xml:space="preserve">拆分</w:t>
      </w:r>
      <w:r>
        <w:t xml:space="preserve">”</w:t>
      </w:r>
      <w:r>
        <w:t xml:space="preserve">还是</w:t>
      </w:r>
      <w:r>
        <w:t xml:space="preserve">“</w:t>
      </w:r>
      <w:r>
        <w:t xml:space="preserve">分配</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4-3 只改变</w:t>
      </w:r>
      <w:r>
        <w:t xml:space="preserve">“</w:t>
      </w:r>
      <w:r>
        <w:t xml:space="preserve">是否拆分</w:t>
      </w:r>
      <w:r>
        <w:t xml:space="preserve">”</w:t>
      </w:r>
      <w:r>
        <w:t xml:space="preserve">，表 4-4 只改变</w:t>
      </w:r>
      <w:r>
        <w:t xml:space="preserve">“</w:t>
      </w:r>
      <w:r>
        <w:t xml:space="preserve">推理模型</w:t>
      </w:r>
      <w:r>
        <w:t xml:space="preserve">”</w:t>
      </w:r>
      <w:r>
        <w:t xml:space="preserve">。</w:t>
      </w:r>
    </w:p>
    <w:p>
      <w:pPr>
        <w:pStyle w:val="BodyText"/>
        <w:keepNext/>
        <w:spacing w:before="160"/>
      </w:pPr>
      <w:r>
        <w:t xml:space="preserve">表 4-3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w:t>
      </w:r>
      <w:r>
        <w:rPr>
          <w:b/>
        </w:rPr>
        <w:t xml:space="preserve">DAG 不是天然的 Accuracy Booster</w:t>
      </w:r>
      <w:r>
        <w:t xml:space="preserve">：分解引入真实的接口损耗，损耗集中于简单任务（表 4-5）。</w:t>
      </w:r>
    </w:p>
    <w:p>
      <w:pPr>
        <w:pStyle w:val="BodyText"/>
        <w:keepNext/>
        <w:spacing w:before="160"/>
      </w:pPr>
      <w:r>
        <w:t xml:space="preserve">表 4-4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4-5 复杂度分层下的分解效应（表 4-3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w:t>
      </w:r>
    </w:p>
    <w:p>
      <w:pPr>
        <w:pStyle w:val="BodyText"/>
      </w:pPr>
      <w:r>
        <w:t xml:space="preserve">TAT-QA 上 56 个 Harm 的逐题分类（零调用审计，</w:t>
      </w:r>
      <w:r>
        <w:rPr>
          <w:rStyle w:val="VerbatimChar"/>
        </w:rPr>
        <w:t xml:space="preserve">TAT_QA_FAILURE_CLASSIFICATION.json</w:t>
      </w:r>
      <w:r>
        <w:t xml:space="preserve">）进一步区分两种损失：真分解失败 31 例（推理在 gold facts 下仍错 30、抽取值错 1）与接口损失 25 例（执行/解析 12、抽取不可解析 7、事实顺序/符号错位 6、百分比/千位缩放 0）。其中 6 例顺序/符号错位具体展示了节点接口丢失语义的机制——表达式语义正确而事实绑定顺序相反。</w:t>
      </w:r>
      <w:r>
        <w:rPr>
          <w:b/>
        </w:rPr>
        <w:t xml:space="preserve">反事实敏感性：即便将全部 25 例接口损失修正，配对差仍为 −8.5pp（CI 不含零）——TAT-QA 的分解损失以真实推理退化为主，不是实现 bug</w:t>
      </w:r>
      <w:r>
        <w:t xml:space="preserve">。成本口径：DAG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47" w:name="查询级与节点级模型分配"/>
      <w:r>
        <w:t xml:space="preserve">4.4 查询级与节点级模型分配</w:t>
      </w:r>
      <w:bookmarkEnd w:id="47"/>
    </w:p>
    <w:p>
      <w:pPr>
        <w:pStyle w:val="FirstParagraph"/>
      </w:pPr>
      <w:r>
        <w:t xml:space="preserve">本节把 4.2 的能力差异转化为分配问题：稳定收益来自阶段/类型粒度，还是来自强实例级学习器。节点路由相对查询路由提高 6.90 个百分点，并减少记录中的 token 与服务时间。</w:t>
      </w:r>
    </w:p>
    <w:p>
      <w:pPr>
        <w:pStyle w:val="BodyText"/>
        <w:keepNext/>
        <w:spacing w:before="160"/>
      </w:pPr>
      <w:r>
        <w:t xml:space="preserve">表 4-6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r>
        <w:rPr>
          <w:b/>
        </w:rPr>
        <w:t xml:space="preserve">类型先验与节点路由的均值相同——主要收益来自阶段粒度，而非问题表示的额外学习能力</w:t>
      </w:r>
      <w:r>
        <w:t xml:space="preserve">；节点路由相对查询路由差异为正，而相对类型先验区间包含零。原结果中 0.6045 是旧 Oracle 选择在新评分器下的重评分；本表采用已留档复核的新版逐节点最大值 0.6065，不混用两者计算差距。</w:t>
      </w:r>
    </w:p>
    <w:p>
      <w:pPr>
        <w:pStyle w:val="BodyText"/>
      </w:pPr>
      <w:r>
        <w:t xml:space="preserve">剩余差距能否由实例级信号稳定利用？剩余差距路由以 large 为强默认，使用 900 任务开发数据拟合两阶段选择器，固定阈值 τ=0.5 后分别评价较小 Conf-200 与较大 Conf-500。这里的 Oracle 仅取三条同模型传播链，与 4.6 九组合 Oracle 不同。</w:t>
      </w:r>
    </w:p>
    <w:p>
      <w:pPr>
        <w:pStyle w:val="BodyText"/>
        <w:keepNext/>
        <w:spacing w:before="160"/>
      </w:pPr>
      <w:r>
        <w:t xml:space="preserve">表 4-7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作为稳定主结果，也不能反向断言剩余差距完全不可学习。在 Conf-200 上，能力画像路由与成对路由分别切换 135 和 137 次，质量为 0.16 和 0.15，低于默认的 0.19；两阶段策略只切换 4 次。该比较提示无充分依据的覆盖会引入损害。Conf-500 的机制分析在 34 个仅 large 占优任务与 27 个替代者占优任务上，触发分数的诊断 AUC 为 0.458：单模型成功可预测、相对优劣可排序以及最终路由有净收益，是不同层次的问题。</w:t>
      </w:r>
    </w:p>
    <w:p>
      <w:pPr>
        <w:pStyle w:val="BodyText"/>
      </w:pPr>
      <w:r>
        <w:t xml:space="preserve">低覆盖率选择为何相对安全？将 900 开发任务、200 和 500 个已分析确认任务合并为 1,600 题开发语料，进行任务级五折预测与事后风险—覆盖率分析。运行时特征来自 large 的实际抽取和推理输出；这一评价不能再称为独立确认，也不等同于零执行成本的到达时路由。</w:t>
      </w:r>
    </w:p>
    <w:p>
      <w:pPr>
        <w:pStyle w:val="BodyText"/>
        <w:keepNext/>
        <w:spacing w:before="160"/>
      </w:pPr>
      <w:r>
        <w:t xml:space="preserve">表 4-8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是新任务上的通用安全区间，更不能在看到曲线后将这些档位称为事先冻结阈值。既有流程在折分前进行全体无标签特征标准化，且覆盖档位为事后解释，因此本节保留开发层级。</w:t>
      </w:r>
    </w:p>
    <w:p>
      <w:pPr>
        <w:pStyle w:val="Heading3"/>
      </w:pPr>
      <w:bookmarkStart w:id="48" w:name="条件能力与传播能力差异"/>
      <w:r>
        <w:t xml:space="preserve">4.5 条件能力与传播能力差异</w:t>
      </w:r>
      <w:bookmarkEnd w:id="48"/>
    </w:p>
    <w:p>
      <w:pPr>
        <w:pStyle w:val="FirstParagraph"/>
      </w:pPr>
      <w:r>
        <w:t xml:space="preserve">900 任务画像使推理模型消费同模型实际抽取结果，测量传播链能力。任务级五折交叉验证保持同任务节点同折。</w:t>
      </w:r>
    </w:p>
    <w:p>
      <w:pPr>
        <w:pStyle w:val="BodyText"/>
        <w:keepNext/>
        <w:spacing w:before="160"/>
      </w:pPr>
      <w:r>
        <w:t xml:space="preserve">表 4-9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个存在模型间结果差异；大量共同失败和共同成功会抬高整体最优命中率，判断可路由性应关注模型表现不同的任务。</w:t>
      </w:r>
    </w:p>
    <w:p>
      <w:pPr>
        <w:pStyle w:val="BodyText"/>
      </w:pPr>
      <w:r>
        <w:rPr>
          <w:b/>
        </w:rPr>
        <w:t xml:space="preserve">条件能力不等于传播能力</w:t>
      </w: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w:t>
      </w:r>
      <w:r>
        <w:rPr>
          <w:rStyle w:val="VerbatimChar"/>
        </w:rPr>
        <w:t xml:space="preserve">REASONER_ROW_ORACLE_AUDIT.json</w:t>
      </w:r>
      <w:r>
        <w:t xml:space="preserve">，冻结评分器逐任务重算）给出各面板传播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说法查无冻结来源，作废。由此，条件能力与传播能力必须分开估计：前者揭示理想输入下的能力，后者反映整个输入生成过程与下游执行的联合作用——这是</w:t>
      </w:r>
      <w:r>
        <w:t xml:space="preserve">“</w:t>
      </w:r>
      <w:r>
        <w:t xml:space="preserve">节点接口表达能力</w:t>
      </w:r>
      <w:r>
        <w:t xml:space="preserve">”</w:t>
      </w:r>
      <w:r>
        <w:t xml:space="preserve">条件的第一处直接证据。</w:t>
      </w:r>
    </w:p>
    <w:p>
      <w:pPr>
        <w:pStyle w:val="Heading3"/>
      </w:pPr>
      <w:bookmarkStart w:id="49" w:name="跨模型组合与有限候选上界"/>
      <w:r>
        <w:t xml:space="preserve">4.6 跨模型组合与有限候选上界</w:t>
      </w:r>
      <w:bookmarkEnd w:id="49"/>
    </w:p>
    <w:p>
      <w:pPr>
        <w:pStyle w:val="FirstParagraph"/>
      </w:pPr>
      <w:r>
        <w:t xml:space="preserve">在能力画像的 200 任务子集上，实际执行三个抽取模型与三个推理模型的九种组合，推理者消费对应抽取者输出。该子集用于开发机制分析，不是 Conf-200 确认集。</w:t>
      </w:r>
    </w:p>
    <w:p>
      <w:pPr>
        <w:pStyle w:val="BodyText"/>
        <w:keepNext/>
        <w:spacing w:before="160"/>
      </w:pPr>
      <w:r>
        <w:t xml:space="preserve">表 4-10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18.0%。这表明同模型链可能因抽取弱项而掩盖下游优势，独立分配阶段模型能够解除这种绑定。上述比较支持阶段互补的机制解释，但当前未据该汇总表宣称各点估计差异均达到统计显著；large 抽取均值更好也不意味着它在每个任务上都是最优来源。</w:t>
      </w:r>
    </w:p>
    <w:p>
      <w:pPr>
        <w:pStyle w:val="BodyText"/>
        <w:keepNext/>
        <w:spacing w:before="160"/>
      </w:pPr>
      <w:r>
        <w:t xml:space="preserve">表 4-11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0" w:name="静态与动态执行"/>
      <w:r>
        <w:t xml:space="preserve">4.7 静态与动态执行</w:t>
      </w:r>
      <w:bookmarkEnd w:id="50"/>
    </w:p>
    <w:p>
      <w:pPr>
        <w:pStyle w:val="FirstParagraph"/>
      </w:pPr>
      <w:r>
        <w:t xml:space="preserve">动态执行的价值必须按</w:t>
      </w:r>
      <w:r>
        <w:t xml:space="preserve"> </w:t>
      </w:r>
      <w:r>
        <w:rPr>
          <w:b/>
        </w:rPr>
        <w:t xml:space="preserve">Static → Static-Matched → Dynamic</w:t>
      </w:r>
      <w:r>
        <w:t xml:space="preserve"> </w:t>
      </w:r>
      <w:r>
        <w:t xml:space="preserve">的顺序归因，否则</w:t>
      </w:r>
      <w:r>
        <w:t xml:space="preserve">“</w:t>
      </w:r>
      <w:r>
        <w:t xml:space="preserve">+20pp</w:t>
      </w:r>
      <w:r>
        <w:t xml:space="preserve">”</w:t>
      </w:r>
      <w:r>
        <w:t xml:space="preserve">会被误读为调度器本身的贡献。最新动态对照使用已分析的 48 任务真实调用面板。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4-12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个百分点包含零，差异不显著。第二版减少观察到的 Harm，同时也少一个 Help，总正确数未变化；其服务时间略高于静态，不能写成 Q/C/L 全面占优。实现中 25/48 个任务带重调度标记，包含局部回退，不能等同于多后继全局调整。token 预算违规为零，但预算基准取静态实际消耗的 1.2 倍，非到达时即可知道的预算。该面板此前已分析，不是未经接触的 held-out test。开发层受控故障提供补充机制证据：模型分配干预中出现 Help=2、Harm=0；证据缺失为 1／1，错误中间值为 0／0。无干预对照仍有一例损害，且原恢复率汇总存在计数错误，故本稿只保留已复核 Help/Harm，不据此宣称严格的单因素因果证明。</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0。按预注册三情形判定为情形二：方向在第二个独立面板复现（+2.1 → +2.8），规模一致，但统计上仍未确证。动态第二版的端到端质量收益应描述为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w:t>
      </w:r>
    </w:p>
    <w:p>
      <w:pPr>
        <w:pStyle w:val="BodyText"/>
      </w:pPr>
      <w:r>
        <w:rPr>
          <w:b/>
        </w:rPr>
        <w:t xml:space="preserve">公平性消融（</w:t>
      </w:r>
      <w:r>
        <w:rPr>
          <w:rStyle w:val="VerbatimChar"/>
          <w:b/>
        </w:rPr>
        <w:t xml:space="preserve">multidag_ablation_120</w:t>
      </w:r>
      <w:r>
        <w:rPr>
          <w:b/>
        </w:rPr>
        <w:t xml:space="preserve">，两个预注册对照臂，同一冻结面板，830 次新调用）</w:t>
      </w:r>
      <w:r>
        <w:t xml:space="preserve">。针对</w:t>
      </w:r>
      <w:r>
        <w:t xml:space="preserve">“</w:t>
      </w:r>
      <w:r>
        <w:t xml:space="preserve">动态收益是否只是用了更强模型</w:t>
      </w:r>
      <w:r>
        <w:t xml:space="preserve">”</w:t>
      </w:r>
      <w:r>
        <w:t xml:space="preserve">的质疑，</w:t>
      </w:r>
      <w:r>
        <w:rPr>
          <w:b/>
        </w:rPr>
        <w:t xml:space="preserve">Static-Matched 臂</w:t>
      </w:r>
      <w:r>
        <w:t xml:space="preserve">保持静态语义（每失败节点一次恢复、无跨任务记忆、无门控、理想检测），但将恢复目标换成动态的升级目标（r 失败→large、v 失败→large）：Q = 35.0%（较静态 +18.3pp，CI [10.0, 26.7]），而完整动态策略 36.7%——策略超出目标选择的额外贡献仅 +1.7pp（CI [−4.2, +7.5]，McNemar p=0.77）。</w:t>
      </w:r>
      <w:r>
        <w:rPr>
          <w:b/>
        </w:rPr>
        <w:t xml:space="preserve">归因如实报告：该面板上的主要质量增益来自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（933 次适配调用零越界、分支隔离零违例、预算违规为零）。</w:t>
      </w:r>
    </w:p>
    <w:p>
      <w:pPr>
        <w:pStyle w:val="BodyText"/>
      </w:pPr>
      <w:r>
        <w:rPr>
          <w:b/>
        </w:rPr>
        <w:t xml:space="preserve">Dynamic-RealDetector 臂</w:t>
      </w:r>
      <w:r>
        <w:t xml:space="preserve">将失败检测全部替换为部署可得信号（解析/执行检查，加 v 与 r 的输出一致性检查，全程无 gold 参考）：Q = 35.0%，增益保留率 91.7%（任务级 bootstrap CI [77.8%, 100%]），与理想检测臂无显著差异（McNemar b=2/c=0，p=0.5），且成本更低（2,459.5 tokens）。需要说明其机制边界：保留率高的重要原因之一是尾节点校验的输出一致性检查在本面板近乎全触发（离线审计已表明该信号退化为常发），它等价于</w:t>
      </w:r>
      <w:r>
        <w:t xml:space="preserve">“</w:t>
      </w:r>
      <w:r>
        <w:t xml:space="preserve">尾节点总是请求更强模型复核</w:t>
      </w:r>
      <w:r>
        <w:t xml:space="preserve">”</w:t>
      </w:r>
      <w:r>
        <w:t xml:space="preserve">；r 节点的值错误检测不到（解析/执行检查的召回缺口），但该缺口在本面板上代价很小。结论：动态 DAG 的收益不依赖 gold 失败信号；其安全性与选择性仍由框架的审计性质保证。面板边界同时保留：区域受限抽取（仅表格或仅文本）的失败率（158/480 节点槽位）远高于全上下文抽取，校验尾节点几乎在所有任务上触发适配，结论限于单一任务域。</w:t>
      </w:r>
    </w:p>
    <w:p>
      <w:pPr>
        <w:pStyle w:val="BodyText"/>
      </w:pPr>
      <w:r>
        <w:t xml:space="preserve">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w:t>
      </w:r>
    </w:p>
    <w:p>
      <w:pPr>
        <w:pStyle w:val="Heading3"/>
      </w:pPr>
      <w:bookmarkStart w:id="51" w:name="故障诊断恢复与预算"/>
      <w:r>
        <w:t xml:space="preserve">4.8 故障诊断、恢复与预算</w:t>
      </w:r>
      <w:bookmarkEnd w:id="51"/>
    </w:p>
    <w:p>
      <w:pPr>
        <w:pStyle w:val="FirstParagraph"/>
      </w:pPr>
      <w:r>
        <w:t xml:space="preserve">本节回答：反馈驱动的调整最多能兑现多少，取决于候选动作集合里有什么。</w:t>
      </w:r>
    </w:p>
    <w:p>
      <w:pPr>
        <w:pStyle w:val="Heading4"/>
      </w:pPr>
      <w:bookmarkStart w:id="52" w:name="真实失败与动作覆盖"/>
      <w:r>
        <w:t xml:space="preserve">4.8.1 真实失败与动作覆盖</w:t>
      </w:r>
      <w:bookmarkEnd w:id="52"/>
    </w:p>
    <w:p>
      <w:pPr>
        <w:pStyle w:val="FirstParagraph"/>
      </w:pPr>
      <w:r>
        <w:t xml:space="preserve">原 148 个缺陷节点中有 32 个原最终答案已正确，审计后恢复集合为 116 个节点、96 个任务。恢复以原最终答案错误为前提，避免将再次答对原本正确的任务计为救回。</w:t>
      </w:r>
    </w:p>
    <w:p>
      <w:pPr>
        <w:pStyle w:val="BodyText"/>
        <w:keepNext/>
        <w:spacing w:before="160"/>
      </w:pPr>
      <w:r>
        <w:t xml:space="preserve">表 4-13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w:t>
      </w:r>
      <w:r>
        <w:rPr>
          <w:b/>
        </w:rPr>
        <w:t xml:space="preserve">Dynamic cannot create missing capability：即使动作选择完全正确，也无法恢复该固定集合没有成功输出的节点</w:t>
      </w:r>
      <w:r>
        <w:t xml:space="preserve">。这一结论仅限该困难集合及固定模型、提示与动作，不是所有任务的唯一瓶颈。两个再次调用的真实恢复案例并未保持原提示，因此不证明零温度同提示重试有效。局部子图重规划在独立开发的 40 节点上仅成功 1 个，加入后动作并集仍为 4/40，新增覆盖为零，按既有规则判定 NO-GO。拓扑变化没有自动扩展覆盖，不作为本文正贡献。</w:t>
      </w:r>
    </w:p>
    <w:p>
      <w:pPr>
        <w:pStyle w:val="Heading4"/>
      </w:pPr>
      <w:bookmarkStart w:id="53" w:name="剩余预算与多目标权衡"/>
      <w:r>
        <w:t xml:space="preserve">4.8.2 剩余预算与多目标权衡</w:t>
      </w:r>
      <w:bookmarkEnd w:id="53"/>
    </w:p>
    <w:p>
      <w:pPr>
        <w:pStyle w:val="FirstParagraph"/>
      </w:pPr>
      <w:r>
        <w:t xml:space="preserve">预算响应面使用 116 节点的已测动作开销，在 11×7 个 token／服务时间档位上回放。</w:t>
      </w:r>
    </w:p>
    <w:p>
      <w:pPr>
        <w:pStyle w:val="BodyText"/>
        <w:keepNext/>
        <w:spacing w:before="160"/>
      </w:pPr>
      <w:r>
        <w:t xml:space="preserve">表 4-14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紧预算限制昂贵动作，预算放宽增加可行覆盖，但最终仍止于固定动作并集。回放事先知道实际消耗，并用离线成功停止；零违反是可行性筛选的结果，不证明部署时具有准确时延预测。在九组合面板中，固定 large 抽取的三种推理组合成本约 4,430—4,436 tokens，服务时间约 5.08—5.19 秒，质量分别为 20.0%、18.0%、20.5%。正常预算下它们的资源差异较小，质量是主要区分轴；预算收紧后，资源项转为可行性条件。该观察限于当前组合与环境，不扩展为所有模型池的共同性质。</w:t>
      </w:r>
    </w:p>
    <w:p>
      <w:pPr>
        <w:pStyle w:val="Heading4"/>
      </w:pPr>
      <w:bookmarkStart w:id="54" w:name="证据改善为何不必然带来正确答案"/>
      <w:r>
        <w:t xml:space="preserve">4.8.3 证据改善为何不必然带来正确答案</w:t>
      </w:r>
      <w:bookmarkEnd w:id="54"/>
    </w:p>
    <w:p>
      <w:pPr>
        <w:pStyle w:val="FirstParagraph"/>
      </w:pPr>
      <w:r>
        <w:t xml:space="preserve">已有结构感知解析诊断关注原同模型链共同失败的开发子集。零调用审计（</w:t>
      </w:r>
      <w:r>
        <w:rPr>
          <w:rStyle w:val="VerbatimChar"/>
        </w:rPr>
        <w:t xml:space="preserve">EVIDENCE_DIAGNOSIS_AUDIT.json</w:t>
      </w:r>
      <w:r>
        <w:t xml:space="preserve">，含 commit 与全部输入哈希）给出其可复核边界：25 个结构推理应答全部可解析，按冻结评分器重打分 Q = 0/25，与保存的评分汇总一致；但</w:t>
      </w:r>
      <w:r>
        <w:t xml:space="preserve">“</w:t>
      </w:r>
      <w:r>
        <w:t xml:space="preserve">25 条记录均覆盖必要操作数</w:t>
      </w:r>
      <w:r>
        <w:t xml:space="preserve">”</w:t>
      </w:r>
      <w:r>
        <w:t xml:space="preserve">这一早期工件不可复现——以当前版本化代码重算，top-30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臂没有已定位的冻结输出，相应口头数字（0%、4%）同样无审计工件支持。作为补充，对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3"/>
      </w:pPr>
      <w:bookmarkStart w:id="55" w:name="历史图复用"/>
      <w:r>
        <w:t xml:space="preserve">4.9 历史图复用</w:t>
      </w:r>
      <w:bookmarkEnd w:id="55"/>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r>
        <w:rPr>
          <w:b/>
        </w:rPr>
        <w:t xml:space="preserve">本节保持辅助机制定位：复用只节省算力，不创造新能力</w:t>
      </w:r>
      <w:r>
        <w:t xml:space="preserve">。</w:t>
      </w:r>
    </w:p>
    <w:p>
      <w:pPr>
        <w:pStyle w:val="Heading3"/>
      </w:pPr>
      <w:bookmarkStart w:id="56" w:name="跨领域泛化与适用边界"/>
      <w:r>
        <w:t xml:space="preserve">4.10 跨领域泛化与适用边界</w:t>
      </w:r>
      <w:bookmarkEnd w:id="56"/>
    </w:p>
    <w:p>
      <w:pPr>
        <w:pStyle w:val="Heading4"/>
      </w:pPr>
      <w:bookmarkStart w:id="57" w:name="财务数学代码跨域结果"/>
      <w:r>
        <w:t xml:space="preserve">4.10.1 财务／数学／代码跨域结果</w:t>
      </w:r>
      <w:bookmarkEnd w:id="57"/>
    </w:p>
    <w:p>
      <w:pPr>
        <w:pStyle w:val="FirstParagraph"/>
      </w:pPr>
      <w:r>
        <w:t xml:space="preserve">早期探索性 Math500 实验（200 题六臂）用于发现潜在接口退化现象，但由于其任务筛选受旧评分器可解析范围影响，本文不将其作为正式证据；后续结论均基于冻结分层的正式 Math-100 面板。详细数字仅保留在 FINAL_CLAIM_AUDIT 与实验审计文件中。</w:t>
      </w:r>
    </w:p>
    <w:p>
      <w:pPr>
        <w:pStyle w:val="BodyText"/>
      </w:pPr>
      <w:r>
        <w:rPr>
          <w:b/>
        </w:rPr>
        <w:t xml:space="preserve">正式 Math500 面板</w:t>
      </w:r>
      <w:r>
        <w:t xml:space="preserve">（100 任务，按答案类型分层抽样，FROZEN_BEFORE_EXECUTION，534 次调用，评分器为冻结的 LaTeX 归一化 + sympy 精确等价，对 500/500 个 gold 可解析）：单体 large 54.0%、查询路由 50.0%、单体 medium 49.0%，三个 DAG 臂 13.0%—16.0%（节点路由 13.0%、静态 15.0%、动态 16.0%；静态对 large −39.0pp，CI [−50,−27]；动态对静态 +1.0pp，b=1/c=0 无差异；有限候选 Oracle 64%）。阶段诊断显示损失分两层：给定计划的求解节点正确率仅 32%（medium 求解能力不足——冻结自财务域的阶段分配先验在此域失配），校验节点再把已答对的一半改错（32%→15%，校验覆盖规则将最终答案推向更弱的 coder 模型）。两类已测试的中间产物式分解接口（</w:t>
      </w:r>
      <w:r>
        <w:t xml:space="preserve">“</w:t>
      </w:r>
      <w:r>
        <w:t xml:space="preserve">数值事实→算术表达式</w:t>
      </w:r>
      <w:r>
        <w:t xml:space="preserve">”</w:t>
      </w:r>
      <w:r>
        <w:t xml:space="preserve">与</w:t>
      </w:r>
      <w:r>
        <w:t xml:space="preserve">“</w:t>
      </w:r>
      <w:r>
        <w:t xml:space="preserve">JSON 计划→自由求解</w:t>
      </w:r>
      <w:r>
        <w:t xml:space="preserve">”</w:t>
      </w:r>
      <w:r>
        <w:t xml:space="preserve">）在数学推理上均出现明显性能退化，不外推到未测试的数学任务与分解接口。</w:t>
      </w:r>
    </w:p>
    <w:p>
      <w:pPr>
        <w:pStyle w:val="BodyText"/>
      </w:pPr>
      <w:r>
        <w:rPr>
          <w:b/>
        </w:rPr>
        <w:t xml:space="preserve">正式 MBPP 面板</w:t>
      </w:r>
      <w:r>
        <w:t xml:space="preserve">（100 任务，单元测试为确定性评分与部署反馈，FROZEN_BEFORE_EXECUTION）：代码域采用与财务域不同的自然节点接口——规划→代码生成→单元测试→修复/校验，语法错误、运行时错误、断言失败均为部署可得信号，全程不读取参考实现。六臂结果：单体 medium 68.0%、large 76.0%、查询路由 71.0%、阶段分配 73.0%、静态 74.0%、动态真实 80.0%（有限候选 Oracle 87.0%）。配对对比：动态对静态 +6.0pp，95% CI [+1.0, +12.0] 不含零（Help/Harm = 7/1；McNemar 精确 p = 0.070，两种检验在 0.05 阈值上的分歧如实报告）；恢复率（初始失败→最终通过）7/26 = 26.9%；修复共 49 次；代价为动态 +95.7 tokens（+11.9%）且预算违规 22/100。该正向效应按冻结表述规范为方向明确的支持性证据，不宣称稳定统计显著。其余对比均不显著：阶段分配对查询路由 +2.0pp（CI [−7, +11]），静态对单体 large −2.0pp，动态对单体 large +4.0pp（CI [−3, +11]）。</w:t>
      </w:r>
    </w:p>
    <w:p>
      <w:pPr>
        <w:pStyle w:val="BodyText"/>
        <w:keepNext/>
        <w:spacing w:before="160"/>
      </w:pPr>
      <w:r>
        <w:t xml:space="preserve">表 4-15 跨域六臂对照总表</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研究问题</w:t>
            </w:r>
          </w:p>
        </w:tc>
        <w:tc>
          <w:tcPr>
            <w:tcW w:type="dxa" w:w="1701"/>
            <w:vAlign w:val="center"/>
            <w:shd w:fill="E8EDF2"/>
          </w:tcPr>
          <w:p>
            <w:pPr>
              <w:spacing w:after="60" w:before="60" w:line="240" w:lineRule="auto"/>
            </w:pPr>
            <w:r>
              <w:rPr>
                <w:rFonts w:eastAsia="Noto Sans CJK SC"/>
                <w:b/>
                <w:sz w:val="18"/>
              </w:rPr>
              <w:t>财务域</w:t>
            </w:r>
          </w:p>
        </w:tc>
        <w:tc>
          <w:tcPr>
            <w:tcW w:type="dxa" w:w="2665"/>
            <w:vAlign w:val="center"/>
            <w:shd w:fill="E8EDF2"/>
          </w:tcPr>
          <w:p>
            <w:pPr>
              <w:spacing w:after="60" w:before="60" w:line="240" w:lineRule="auto"/>
            </w:pPr>
            <w:r>
              <w:rPr>
                <w:rFonts w:eastAsia="Noto Sans CJK SC"/>
                <w:b/>
                <w:sz w:val="18"/>
              </w:rPr>
              <w:t>MBPP（代码）</w:t>
            </w:r>
          </w:p>
        </w:tc>
        <w:tc>
          <w:tcPr>
            <w:tcW w:type="dxa" w:w="2891"/>
            <w:vAlign w:val="center"/>
            <w:shd w:fill="E8EDF2"/>
          </w:tcPr>
          <w:p>
            <w:pPr>
              <w:spacing w:after="60" w:before="60" w:line="240" w:lineRule="auto"/>
            </w:pPr>
            <w:r>
              <w:rPr>
                <w:rFonts w:eastAsia="Noto Sans CJK SC"/>
                <w:b/>
                <w:sz w:val="18"/>
              </w:rPr>
              <w:t>Math500（数学）</w:t>
            </w:r>
          </w:p>
        </w:tc>
      </w:tr>
      <w:tr>
        <w:trPr>
          <w:cantSplit/>
        </w:trPr>
        <w:tc>
          <w:tcPr>
            <w:tcW w:type="dxa" w:w="2268"/>
            <w:vAlign w:val="center"/>
          </w:tcPr>
          <w:p>
            <w:pPr>
              <w:spacing w:after="60" w:before="60" w:line="240" w:lineRule="auto"/>
            </w:pPr>
            <w:r>
              <w:rPr>
                <w:rFonts w:eastAsia="Noto Sans CJK SC"/>
                <w:b w:val="0"/>
                <w:sz w:val="18"/>
              </w:rPr>
              <w:t>阶段级异质性</w:t>
            </w:r>
          </w:p>
        </w:tc>
        <w:tc>
          <w:tcPr>
            <w:tcW w:type="dxa" w:w="1701"/>
            <w:vAlign w:val="center"/>
          </w:tcPr>
          <w:p>
            <w:pPr>
              <w:spacing w:after="60" w:before="60" w:line="240" w:lineRule="auto"/>
            </w:pPr>
            <w:r>
              <w:rPr>
                <w:rFonts w:eastAsia="Noto Sans CJK SC"/>
                <w:b w:val="0"/>
                <w:sz w:val="18"/>
              </w:rPr>
              <w:t>有明确节点级差异</w:t>
            </w:r>
          </w:p>
        </w:tc>
        <w:tc>
          <w:tcPr>
            <w:tcW w:type="dxa" w:w="2665"/>
            <w:vAlign w:val="center"/>
          </w:tcPr>
          <w:p>
            <w:pPr>
              <w:spacing w:after="60" w:before="60" w:line="240" w:lineRule="auto"/>
            </w:pPr>
            <w:r>
              <w:rPr>
                <w:rFonts w:eastAsia="Noto Sans CJK SC"/>
                <w:b w:val="0"/>
                <w:sz w:val="18"/>
              </w:rPr>
              <w:t>有一定迹象，但未超过最强固定模型</w:t>
            </w:r>
          </w:p>
        </w:tc>
        <w:tc>
          <w:tcPr>
            <w:tcW w:type="dxa" w:w="2891"/>
            <w:vAlign w:val="center"/>
          </w:tcPr>
          <w:p>
            <w:pPr>
              <w:spacing w:after="60" w:before="60" w:line="240" w:lineRule="auto"/>
            </w:pPr>
            <w:r>
              <w:rPr>
                <w:rFonts w:eastAsia="Noto Sans CJK SC"/>
                <w:b w:val="0"/>
                <w:sz w:val="18"/>
              </w:rPr>
              <w:t>冻结先验明显失效</w:t>
            </w:r>
          </w:p>
        </w:tc>
      </w:tr>
      <w:tr>
        <w:trPr>
          <w:cantSplit/>
        </w:trPr>
        <w:tc>
          <w:tcPr>
            <w:tcW w:type="dxa" w:w="2268"/>
            <w:vAlign w:val="center"/>
          </w:tcPr>
          <w:p>
            <w:pPr>
              <w:spacing w:after="60" w:before="60" w:line="240" w:lineRule="auto"/>
            </w:pPr>
            <w:r>
              <w:rPr>
                <w:rFonts w:eastAsia="Noto Sans CJK SC"/>
                <w:b w:val="0"/>
                <w:sz w:val="18"/>
              </w:rPr>
              <w:t>Node vs Query</w:t>
            </w:r>
          </w:p>
        </w:tc>
        <w:tc>
          <w:tcPr>
            <w:tcW w:type="dxa" w:w="1701"/>
            <w:vAlign w:val="center"/>
          </w:tcPr>
          <w:p>
            <w:pPr>
              <w:spacing w:after="60" w:before="60" w:line="240" w:lineRule="auto"/>
            </w:pPr>
            <w:r>
              <w:rPr>
                <w:rFonts w:eastAsia="Noto Sans CJK SC"/>
                <w:b w:val="0"/>
                <w:sz w:val="18"/>
              </w:rPr>
              <w:t>类型／阶段粒度更有效</w:t>
            </w:r>
          </w:p>
        </w:tc>
        <w:tc>
          <w:tcPr>
            <w:tcW w:type="dxa" w:w="2665"/>
            <w:vAlign w:val="center"/>
          </w:tcPr>
          <w:p>
            <w:pPr>
              <w:spacing w:after="60" w:before="60" w:line="240" w:lineRule="auto"/>
            </w:pPr>
            <w:r>
              <w:rPr>
                <w:rFonts w:eastAsia="Noto Sans CJK SC"/>
                <w:b w:val="0"/>
                <w:sz w:val="18"/>
              </w:rPr>
              <w:t>+2.0pp，ns</w:t>
            </w:r>
          </w:p>
        </w:tc>
        <w:tc>
          <w:tcPr>
            <w:tcW w:type="dxa" w:w="2891"/>
            <w:vAlign w:val="center"/>
          </w:tcPr>
          <w:p>
            <w:pPr>
              <w:spacing w:after="60" w:before="60" w:line="240" w:lineRule="auto"/>
            </w:pPr>
            <w:r>
              <w:rPr>
                <w:rFonts w:eastAsia="Noto Sans CJK SC"/>
                <w:b w:val="0"/>
                <w:sz w:val="18"/>
              </w:rPr>
              <w:t>−37.0pp，显著退化</w:t>
            </w:r>
          </w:p>
        </w:tc>
      </w:tr>
      <w:tr>
        <w:trPr>
          <w:cantSplit/>
        </w:trPr>
        <w:tc>
          <w:tcPr>
            <w:tcW w:type="dxa" w:w="2268"/>
            <w:vAlign w:val="center"/>
          </w:tcPr>
          <w:p>
            <w:pPr>
              <w:spacing w:after="60" w:before="60" w:line="240" w:lineRule="auto"/>
            </w:pPr>
            <w:r>
              <w:rPr>
                <w:rFonts w:eastAsia="Noto Sans CJK SC"/>
                <w:b w:val="0"/>
                <w:sz w:val="18"/>
              </w:rPr>
              <w:t>Dynamic vs Static</w:t>
            </w:r>
          </w:p>
        </w:tc>
        <w:tc>
          <w:tcPr>
            <w:tcW w:type="dxa" w:w="1701"/>
            <w:vAlign w:val="center"/>
          </w:tcPr>
          <w:p>
            <w:pPr>
              <w:spacing w:after="60" w:before="60" w:line="240" w:lineRule="auto"/>
            </w:pPr>
            <w:r>
              <w:rPr>
                <w:rFonts w:eastAsia="Noto Sans CJK SC"/>
                <w:b w:val="0"/>
                <w:sz w:val="18"/>
              </w:rPr>
              <w:t>主要体现选择性与资源效率</w:t>
            </w:r>
          </w:p>
        </w:tc>
        <w:tc>
          <w:tcPr>
            <w:tcW w:type="dxa" w:w="2665"/>
            <w:vAlign w:val="center"/>
          </w:tcPr>
          <w:p>
            <w:pPr>
              <w:spacing w:after="60" w:before="60" w:line="240" w:lineRule="auto"/>
            </w:pPr>
            <w:r>
              <w:rPr>
                <w:rFonts w:eastAsia="Noto Sans CJK SC"/>
                <w:b w:val="0"/>
                <w:sz w:val="18"/>
              </w:rPr>
              <w:t>+6.0pp；bootstrap CI 不跨0，但 McNemar p=0.070</w:t>
            </w:r>
          </w:p>
        </w:tc>
        <w:tc>
          <w:tcPr>
            <w:tcW w:type="dxa" w:w="2891"/>
            <w:vAlign w:val="center"/>
          </w:tcPr>
          <w:p>
            <w:pPr>
              <w:spacing w:after="60" w:before="60" w:line="240" w:lineRule="auto"/>
            </w:pPr>
            <w:r>
              <w:rPr>
                <w:rFonts w:eastAsia="Noto Sans CJK SC"/>
                <w:b w:val="0"/>
                <w:sz w:val="18"/>
              </w:rPr>
              <w:t>+1.0pp，ns</w:t>
            </w:r>
          </w:p>
        </w:tc>
      </w:tr>
      <w:tr>
        <w:trPr>
          <w:cantSplit/>
        </w:trPr>
        <w:tc>
          <w:tcPr>
            <w:tcW w:type="dxa" w:w="2268"/>
            <w:vAlign w:val="center"/>
          </w:tcPr>
          <w:p>
            <w:pPr>
              <w:spacing w:after="60" w:before="60" w:line="240" w:lineRule="auto"/>
            </w:pPr>
            <w:r>
              <w:rPr>
                <w:rFonts w:eastAsia="Noto Sans CJK SC"/>
                <w:b w:val="0"/>
                <w:sz w:val="18"/>
              </w:rPr>
              <w:t>运行反馈</w:t>
            </w:r>
          </w:p>
        </w:tc>
        <w:tc>
          <w:tcPr>
            <w:tcW w:type="dxa" w:w="1701"/>
            <w:vAlign w:val="center"/>
          </w:tcPr>
          <w:p>
            <w:pPr>
              <w:spacing w:after="60" w:before="60" w:line="240" w:lineRule="auto"/>
            </w:pPr>
            <w:r>
              <w:rPr>
                <w:rFonts w:eastAsia="Noto Sans CJK SC"/>
                <w:b w:val="0"/>
                <w:sz w:val="18"/>
              </w:rPr>
              <w:t>部署信号有限</w:t>
            </w:r>
          </w:p>
        </w:tc>
        <w:tc>
          <w:tcPr>
            <w:tcW w:type="dxa" w:w="2665"/>
            <w:vAlign w:val="center"/>
          </w:tcPr>
          <w:p>
            <w:pPr>
              <w:spacing w:after="60" w:before="60" w:line="240" w:lineRule="auto"/>
            </w:pPr>
            <w:r>
              <w:rPr>
                <w:rFonts w:eastAsia="Noto Sans CJK SC"/>
                <w:b w:val="0"/>
                <w:sz w:val="18"/>
              </w:rPr>
              <w:t>unit test 为确定性反馈</w:t>
            </w:r>
          </w:p>
        </w:tc>
        <w:tc>
          <w:tcPr>
            <w:tcW w:type="dxa" w:w="2891"/>
            <w:vAlign w:val="center"/>
          </w:tcPr>
          <w:p>
            <w:pPr>
              <w:spacing w:after="60" w:before="60" w:line="240" w:lineRule="auto"/>
            </w:pPr>
            <w:r>
              <w:rPr>
                <w:rFonts w:eastAsia="Noto Sans CJK SC"/>
                <w:b w:val="0"/>
                <w:sz w:val="18"/>
              </w:rPr>
              <w:t>parse／一致性无法覆盖值错误</w:t>
            </w:r>
          </w:p>
        </w:tc>
      </w:tr>
      <w:tr>
        <w:trPr>
          <w:cantSplit/>
        </w:trPr>
        <w:tc>
          <w:tcPr>
            <w:tcW w:type="dxa" w:w="2268"/>
            <w:vAlign w:val="center"/>
          </w:tcPr>
          <w:p>
            <w:pPr>
              <w:spacing w:after="60" w:before="60" w:line="240" w:lineRule="auto"/>
            </w:pPr>
            <w:r>
              <w:rPr>
                <w:rFonts w:eastAsia="Noto Sans CJK SC"/>
                <w:b w:val="0"/>
                <w:sz w:val="18"/>
              </w:rPr>
              <w:t>主要边界</w:t>
            </w:r>
          </w:p>
        </w:tc>
        <w:tc>
          <w:tcPr>
            <w:tcW w:type="dxa" w:w="1701"/>
            <w:vAlign w:val="center"/>
          </w:tcPr>
          <w:p>
            <w:pPr>
              <w:spacing w:after="60" w:before="60" w:line="240" w:lineRule="auto"/>
            </w:pPr>
            <w:r>
              <w:rPr>
                <w:rFonts w:eastAsia="Noto Sans CJK SC"/>
                <w:b w:val="0"/>
                <w:sz w:val="18"/>
              </w:rPr>
              <w:t>capability／action coverage</w:t>
            </w:r>
          </w:p>
        </w:tc>
        <w:tc>
          <w:tcPr>
            <w:tcW w:type="dxa" w:w="2665"/>
            <w:vAlign w:val="center"/>
          </w:tcPr>
          <w:p>
            <w:pPr>
              <w:spacing w:after="60" w:before="60" w:line="240" w:lineRule="auto"/>
            </w:pPr>
            <w:r>
              <w:rPr>
                <w:rFonts w:eastAsia="Noto Sans CJK SC"/>
                <w:b w:val="0"/>
                <w:sz w:val="18"/>
              </w:rPr>
              <w:t>有效修复但成本上升、预算违规</w:t>
            </w:r>
          </w:p>
        </w:tc>
        <w:tc>
          <w:tcPr>
            <w:tcW w:type="dxa" w:w="2891"/>
            <w:vAlign w:val="center"/>
          </w:tcPr>
          <w:p>
            <w:pPr>
              <w:spacing w:after="60" w:before="60" w:line="240" w:lineRule="auto"/>
            </w:pPr>
            <w:r>
              <w:rPr>
                <w:rFonts w:eastAsia="Noto Sans CJK SC"/>
                <w:b w:val="0"/>
                <w:sz w:val="18"/>
              </w:rPr>
              <w:t>先验与节点接口均失配</w:t>
            </w:r>
          </w:p>
        </w:tc>
      </w:tr>
    </w:tbl>
    <w:p>
      <w:pPr>
        <w:pStyle w:val="Heading4"/>
      </w:pPr>
      <w:bookmarkStart w:id="58" w:name="外部方法比较"/>
      <w:r>
        <w:t xml:space="preserve">4.10.2 外部方法比较</w:t>
      </w:r>
      <w:bookmarkEnd w:id="58"/>
    </w:p>
    <w:p>
      <w:pPr>
        <w:pStyle w:val="FirstParagraph"/>
      </w:pPr>
      <w:r>
        <w:t xml:space="preserve">为回答</w:t>
      </w:r>
      <w:r>
        <w:t xml:space="preserve">“</w:t>
      </w:r>
      <w:r>
        <w:t xml:space="preserve">与已有 routing / cascade / refinement 方法相比新增了什么</w:t>
      </w:r>
      <w:r>
        <w:t xml:space="preserve">”</w:t>
      </w:r>
      <w:r>
        <w:t xml:space="preserve">，本文在 Finance TAT-QA-200 与 MBPP-100 两个冻结面板上，以相同模型池、评分器与预算规则执行三类代表性方法的适配实现（全部标注</w:t>
      </w:r>
      <w:r>
        <w:t xml:space="preserve"> </w:t>
      </w:r>
      <w:r>
        <w:t xml:space="preserve">“</w:t>
      </w:r>
      <w:r>
        <w:t xml:space="preserve">-style</w:t>
      </w:r>
      <w:r>
        <w:t xml:space="preserve">”</w:t>
      </w:r>
      <w:r>
        <w:t xml:space="preserve"> </w:t>
      </w:r>
      <w:r>
        <w:t xml:space="preserve">并声明 adapted to the same frozen model pool, task panel, scorer, and budget constraints；不宣称对原系统的忠实复现）：RouteLLM-style 查询级学习路由（900 题开发语料传播结果重算标签 + GTE 嵌入 + 逻辑回归）、FrugalGPT-style 成本感知级联（廉价模型先执行、部署可得置信检查失败才升级）、Self-Refine-style 答案级迭代精修（批判-修订；代码域反馈为单元测试失败报告）。协议先冻结后运行（641 次调用，one-shot）。</w:t>
      </w:r>
    </w:p>
    <w:p>
      <w:pPr>
        <w:pStyle w:val="BodyText"/>
        <w:keepNext/>
        <w:spacing w:before="160"/>
      </w:pPr>
      <w:r>
        <w:t xml:space="preserve">表 4-16 外部方法比较（同池同面板同评分器同预算规则）</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Method</w:t>
            </w:r>
          </w:p>
        </w:tc>
        <w:tc>
          <w:tcPr>
            <w:tcW w:type="dxa" w:w="876"/>
            <w:vAlign w:val="center"/>
            <w:shd w:fill="E8EDF2"/>
          </w:tcPr>
          <w:p>
            <w:pPr>
              <w:spacing w:after="60" w:before="60" w:line="240" w:lineRule="auto"/>
            </w:pPr>
            <w:r>
              <w:rPr>
                <w:rFonts w:eastAsia="Noto Sans CJK SC"/>
                <w:b/>
                <w:sz w:val="18"/>
              </w:rPr>
              <w:t>Finance Q</w:t>
            </w:r>
          </w:p>
        </w:tc>
        <w:tc>
          <w:tcPr>
            <w:tcW w:type="dxa" w:w="1519"/>
            <w:vAlign w:val="center"/>
            <w:shd w:fill="E8EDF2"/>
          </w:tcPr>
          <w:p>
            <w:pPr>
              <w:spacing w:after="60" w:before="60" w:line="240" w:lineRule="auto"/>
            </w:pPr>
            <w:r>
              <w:rPr>
                <w:rFonts w:eastAsia="Noto Sans CJK SC"/>
                <w:b/>
                <w:sz w:val="18"/>
              </w:rPr>
              <w:t>Finance tok</w:t>
            </w:r>
          </w:p>
        </w:tc>
        <w:tc>
          <w:tcPr>
            <w:tcW w:type="dxa" w:w="1578"/>
            <w:vAlign w:val="center"/>
            <w:shd w:fill="E8EDF2"/>
          </w:tcPr>
          <w:p>
            <w:pPr>
              <w:spacing w:after="60" w:before="60" w:line="240" w:lineRule="auto"/>
            </w:pPr>
            <w:r>
              <w:rPr>
                <w:rFonts w:eastAsia="Noto Sans CJK SC"/>
                <w:b/>
                <w:sz w:val="18"/>
              </w:rPr>
              <w:t>Code Q</w:t>
            </w:r>
          </w:p>
        </w:tc>
        <w:tc>
          <w:tcPr>
            <w:tcW w:type="dxa" w:w="2045"/>
            <w:vAlign w:val="center"/>
            <w:shd w:fill="E8EDF2"/>
          </w:tcPr>
          <w:p>
            <w:pPr>
              <w:spacing w:after="60" w:before="60" w:line="240" w:lineRule="auto"/>
            </w:pPr>
            <w:r>
              <w:rPr>
                <w:rFonts w:eastAsia="Noto Sans CJK SC"/>
                <w:b/>
                <w:sz w:val="18"/>
              </w:rPr>
              <w:t>Code tok</w:t>
            </w:r>
          </w:p>
        </w:tc>
        <w:tc>
          <w:tcPr>
            <w:tcW w:type="dxa" w:w="1811"/>
            <w:vAlign w:val="center"/>
            <w:shd w:fill="E8EDF2"/>
          </w:tcPr>
          <w:p>
            <w:pPr>
              <w:spacing w:after="60" w:before="60" w:line="240" w:lineRule="auto"/>
            </w:pPr>
            <w:r>
              <w:rPr>
                <w:rFonts w:eastAsia="Noto Sans CJK SC"/>
                <w:b/>
                <w:sz w:val="18"/>
              </w:rPr>
              <w:t>反馈粒度</w:t>
            </w:r>
          </w:p>
        </w:tc>
      </w:tr>
      <w:tr>
        <w:trPr>
          <w:cantSplit/>
        </w:trPr>
        <w:tc>
          <w:tcPr>
            <w:tcW w:type="dxa" w:w="1695"/>
            <w:vAlign w:val="center"/>
          </w:tcPr>
          <w:p>
            <w:pPr>
              <w:spacing w:after="60" w:before="60" w:line="240" w:lineRule="auto"/>
            </w:pPr>
            <w:r>
              <w:rPr>
                <w:rFonts w:eastAsia="Noto Sans CJK SC"/>
                <w:b w:val="0"/>
                <w:sz w:val="18"/>
              </w:rPr>
              <w:t>Always-Large</w:t>
            </w:r>
          </w:p>
        </w:tc>
        <w:tc>
          <w:tcPr>
            <w:tcW w:type="dxa" w:w="876"/>
            <w:vAlign w:val="center"/>
          </w:tcPr>
          <w:p>
            <w:pPr>
              <w:spacing w:after="60" w:before="60" w:line="240" w:lineRule="auto"/>
            </w:pPr>
            <w:r>
              <w:rPr>
                <w:rFonts w:eastAsia="Noto Sans CJK SC"/>
                <w:b w:val="0"/>
                <w:sz w:val="18"/>
              </w:rPr>
              <w:t>52.5%</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无</w:t>
            </w:r>
          </w:p>
        </w:tc>
      </w:tr>
      <w:tr>
        <w:trPr>
          <w:cantSplit/>
        </w:trPr>
        <w:tc>
          <w:tcPr>
            <w:tcW w:type="dxa" w:w="1695"/>
            <w:vAlign w:val="center"/>
          </w:tcPr>
          <w:p>
            <w:pPr>
              <w:spacing w:after="60" w:before="60" w:line="240" w:lineRule="auto"/>
            </w:pPr>
            <w:r>
              <w:rPr>
                <w:rFonts w:eastAsia="Noto Sans CJK SC"/>
                <w:b w:val="0"/>
                <w:sz w:val="18"/>
              </w:rPr>
              <w:t>RouteLLM-style</w:t>
            </w:r>
          </w:p>
        </w:tc>
        <w:tc>
          <w:tcPr>
            <w:tcW w:type="dxa" w:w="876"/>
            <w:vAlign w:val="center"/>
          </w:tcPr>
          <w:p>
            <w:pPr>
              <w:spacing w:after="60" w:before="60" w:line="240" w:lineRule="auto"/>
            </w:pPr>
            <w:r>
              <w:rPr>
                <w:rFonts w:eastAsia="Noto Sans CJK SC"/>
                <w:b w:val="0"/>
                <w:sz w:val="18"/>
              </w:rPr>
              <w:t>52.5%（0 次切换）</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76.0%（0 次切换）</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query</w:t>
            </w:r>
          </w:p>
        </w:tc>
      </w:tr>
      <w:tr>
        <w:trPr>
          <w:cantSplit/>
        </w:trPr>
        <w:tc>
          <w:tcPr>
            <w:tcW w:type="dxa" w:w="1695"/>
            <w:vAlign w:val="center"/>
          </w:tcPr>
          <w:p>
            <w:pPr>
              <w:spacing w:after="60" w:before="60" w:line="240" w:lineRule="auto"/>
            </w:pPr>
            <w:r>
              <w:rPr>
                <w:rFonts w:eastAsia="Noto Sans CJK SC"/>
                <w:b w:val="0"/>
                <w:sz w:val="18"/>
              </w:rPr>
              <w:t>FrugalGPT-style cascade</w:t>
            </w:r>
          </w:p>
        </w:tc>
        <w:tc>
          <w:tcPr>
            <w:tcW w:type="dxa" w:w="876"/>
            <w:vAlign w:val="center"/>
          </w:tcPr>
          <w:p>
            <w:pPr>
              <w:spacing w:after="60" w:before="60" w:line="240" w:lineRule="auto"/>
            </w:pPr>
            <w:r>
              <w:rPr>
                <w:rFonts w:eastAsia="Noto Sans CJK SC"/>
                <w:b w:val="0"/>
                <w:sz w:val="18"/>
              </w:rPr>
              <w:t>32.5%</w:t>
            </w:r>
          </w:p>
        </w:tc>
        <w:tc>
          <w:tcPr>
            <w:tcW w:type="dxa" w:w="1519"/>
            <w:vAlign w:val="center"/>
          </w:tcPr>
          <w:p>
            <w:pPr>
              <w:spacing w:after="60" w:before="60" w:line="240" w:lineRule="auto"/>
            </w:pPr>
            <w:r>
              <w:rPr>
                <w:rFonts w:eastAsia="Noto Sans CJK SC"/>
                <w:b w:val="0"/>
                <w:sz w:val="18"/>
              </w:rPr>
              <w:t>743</w:t>
            </w:r>
          </w:p>
        </w:tc>
        <w:tc>
          <w:tcPr>
            <w:tcW w:type="dxa" w:w="1578"/>
            <w:vAlign w:val="center"/>
          </w:tcPr>
          <w:p>
            <w:pPr>
              <w:spacing w:after="60" w:before="60" w:line="240" w:lineRule="auto"/>
            </w:pPr>
            <w:r>
              <w:rPr>
                <w:rFonts w:eastAsia="Noto Sans CJK SC"/>
                <w:b w:val="0"/>
                <w:sz w:val="18"/>
              </w:rPr>
              <w:t>81.0%</w:t>
            </w:r>
          </w:p>
        </w:tc>
        <w:tc>
          <w:tcPr>
            <w:tcW w:type="dxa" w:w="2045"/>
            <w:vAlign w:val="center"/>
          </w:tcPr>
          <w:p>
            <w:pPr>
              <w:spacing w:after="60" w:before="60" w:line="240" w:lineRule="auto"/>
            </w:pPr>
            <w:r>
              <w:rPr>
                <w:rFonts w:eastAsia="Noto Sans CJK SC"/>
                <w:b w:val="0"/>
                <w:sz w:val="18"/>
              </w:rPr>
              <w:t>302</w:t>
            </w:r>
          </w:p>
        </w:tc>
        <w:tc>
          <w:tcPr>
            <w:tcW w:type="dxa" w:w="1811"/>
            <w:vAlign w:val="center"/>
          </w:tcPr>
          <w:p>
            <w:pPr>
              <w:spacing w:after="60" w:before="60" w:line="240" w:lineRule="auto"/>
            </w:pPr>
            <w:r>
              <w:rPr>
                <w:rFonts w:eastAsia="Noto Sans CJK SC"/>
                <w:b w:val="0"/>
                <w:sz w:val="18"/>
              </w:rPr>
              <w:t>cascade</w:t>
            </w:r>
          </w:p>
        </w:tc>
      </w:tr>
      <w:tr>
        <w:trPr>
          <w:cantSplit/>
        </w:trPr>
        <w:tc>
          <w:tcPr>
            <w:tcW w:type="dxa" w:w="1695"/>
            <w:vAlign w:val="center"/>
          </w:tcPr>
          <w:p>
            <w:pPr>
              <w:spacing w:after="60" w:before="60" w:line="240" w:lineRule="auto"/>
            </w:pPr>
            <w:r>
              <w:rPr>
                <w:rFonts w:eastAsia="Noto Sans CJK SC"/>
                <w:b w:val="0"/>
                <w:sz w:val="18"/>
              </w:rPr>
              <w:t>Self-Refine-style</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1,545</w:t>
            </w:r>
          </w:p>
        </w:tc>
        <w:tc>
          <w:tcPr>
            <w:tcW w:type="dxa" w:w="1578"/>
            <w:vAlign w:val="center"/>
          </w:tcPr>
          <w:p>
            <w:pPr>
              <w:spacing w:after="60" w:before="60" w:line="240" w:lineRule="auto"/>
            </w:pPr>
            <w:r>
              <w:rPr>
                <w:rFonts w:eastAsia="Noto Sans CJK SC"/>
                <w:b w:val="0"/>
                <w:sz w:val="18"/>
              </w:rPr>
              <w:t>85.0%</w:t>
            </w:r>
          </w:p>
        </w:tc>
        <w:tc>
          <w:tcPr>
            <w:tcW w:type="dxa" w:w="2045"/>
            <w:vAlign w:val="center"/>
          </w:tcPr>
          <w:p>
            <w:pPr>
              <w:spacing w:after="60" w:before="60" w:line="240" w:lineRule="auto"/>
            </w:pPr>
            <w:r>
              <w:rPr>
                <w:rFonts w:eastAsia="Noto Sans CJK SC"/>
                <w:b w:val="0"/>
                <w:sz w:val="18"/>
              </w:rPr>
              <w:t>386</w:t>
            </w:r>
          </w:p>
        </w:tc>
        <w:tc>
          <w:tcPr>
            <w:tcW w:type="dxa" w:w="1811"/>
            <w:vAlign w:val="center"/>
          </w:tcPr>
          <w:p>
            <w:pPr>
              <w:spacing w:after="60" w:before="60" w:line="240" w:lineRule="auto"/>
            </w:pPr>
            <w:r>
              <w:rPr>
                <w:rFonts w:eastAsia="Noto Sans CJK SC"/>
                <w:b w:val="0"/>
                <w:sz w:val="18"/>
              </w:rPr>
              <w:t>answer-level</w:t>
            </w:r>
          </w:p>
        </w:tc>
      </w:tr>
      <w:tr>
        <w:trPr>
          <w:cantSplit/>
        </w:trPr>
        <w:tc>
          <w:tcPr>
            <w:tcW w:type="dxa" w:w="1695"/>
            <w:vAlign w:val="center"/>
          </w:tcPr>
          <w:p>
            <w:pPr>
              <w:spacing w:after="60" w:before="60" w:line="240" w:lineRule="auto"/>
            </w:pPr>
            <w:r>
              <w:rPr>
                <w:rFonts w:eastAsia="Noto Sans CJK SC"/>
                <w:b w:val="0"/>
                <w:sz w:val="18"/>
              </w:rPr>
              <w:t>Heterogeneous DAG（DAG-L/M）</w:t>
            </w:r>
          </w:p>
        </w:tc>
        <w:tc>
          <w:tcPr>
            <w:tcW w:type="dxa" w:w="876"/>
            <w:vAlign w:val="center"/>
          </w:tcPr>
          <w:p>
            <w:pPr>
              <w:spacing w:after="60" w:before="60" w:line="240" w:lineRule="auto"/>
            </w:pPr>
            <w:r>
              <w:rPr>
                <w:rFonts w:eastAsia="Noto Sans CJK SC"/>
                <w:b w:val="0"/>
                <w:sz w:val="18"/>
              </w:rPr>
              <w:t>40.0%</w:t>
            </w:r>
          </w:p>
        </w:tc>
        <w:tc>
          <w:tcPr>
            <w:tcW w:type="dxa" w:w="1519"/>
            <w:vAlign w:val="center"/>
          </w:tcPr>
          <w:p>
            <w:pPr>
              <w:spacing w:after="60" w:before="60" w:line="240" w:lineRule="auto"/>
            </w:pPr>
            <w:r>
              <w:rPr>
                <w:rFonts w:eastAsia="Noto Sans CJK SC"/>
                <w:b w:val="0"/>
                <w:sz w:val="18"/>
              </w:rPr>
              <w:t>1,093</w:t>
            </w:r>
          </w:p>
        </w:tc>
        <w:tc>
          <w:tcPr>
            <w:tcW w:type="dxa" w:w="1578"/>
            <w:vAlign w:val="center"/>
          </w:tcPr>
          <w:p>
            <w:pPr>
              <w:spacing w:after="60" w:before="60" w:line="240" w:lineRule="auto"/>
            </w:pPr>
            <w:r>
              <w:rPr>
                <w:rFonts w:eastAsia="Noto Sans CJK SC"/>
                <w:b w:val="0"/>
                <w:sz w:val="18"/>
              </w:rPr>
              <w:t>—</w:t>
            </w:r>
          </w:p>
        </w:tc>
        <w:tc>
          <w:tcPr>
            <w:tcW w:type="dxa" w:w="2045"/>
            <w:vAlign w:val="center"/>
          </w:tcPr>
          <w:p>
            <w:pPr>
              <w:spacing w:after="60" w:before="60" w:line="240" w:lineRule="auto"/>
            </w:pPr>
            <w:r>
              <w:rPr>
                <w:rFonts w:eastAsia="Noto Sans CJK SC"/>
                <w:b w:val="0"/>
                <w:sz w:val="18"/>
              </w:rPr>
              <w:t>—</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Static DAG</w:t>
            </w:r>
          </w:p>
        </w:tc>
        <w:tc>
          <w:tcPr>
            <w:tcW w:type="dxa" w:w="876"/>
            <w:vAlign w:val="center"/>
          </w:tcPr>
          <w:p>
            <w:pPr>
              <w:spacing w:after="60" w:before="60" w:line="240" w:lineRule="auto"/>
            </w:pPr>
            <w:r>
              <w:rPr>
                <w:rFonts w:eastAsia="Noto Sans CJK SC"/>
                <w:b w:val="0"/>
                <w:sz w:val="18"/>
              </w:rPr>
              <w:t>31.5%（DAG-L/L）</w:t>
            </w:r>
          </w:p>
        </w:tc>
        <w:tc>
          <w:tcPr>
            <w:tcW w:type="dxa" w:w="1519"/>
            <w:vAlign w:val="center"/>
          </w:tcPr>
          <w:p>
            <w:pPr>
              <w:spacing w:after="60" w:before="60" w:line="240" w:lineRule="auto"/>
            </w:pPr>
            <w:r>
              <w:rPr>
                <w:rFonts w:eastAsia="Noto Sans CJK SC"/>
                <w:b w:val="0"/>
                <w:sz w:val="18"/>
              </w:rPr>
              <w:t>1,092</w:t>
            </w:r>
          </w:p>
        </w:tc>
        <w:tc>
          <w:tcPr>
            <w:tcW w:type="dxa" w:w="1578"/>
            <w:vAlign w:val="center"/>
          </w:tcPr>
          <w:p>
            <w:pPr>
              <w:spacing w:after="60" w:before="60" w:line="240" w:lineRule="auto"/>
            </w:pPr>
            <w:r>
              <w:rPr>
                <w:rFonts w:eastAsia="Noto Sans CJK SC"/>
                <w:b w:val="0"/>
                <w:sz w:val="18"/>
              </w:rPr>
              <w:t>74.0%</w:t>
            </w:r>
          </w:p>
        </w:tc>
        <w:tc>
          <w:tcPr>
            <w:tcW w:type="dxa" w:w="2045"/>
            <w:vAlign w:val="center"/>
          </w:tcPr>
          <w:p>
            <w:pPr>
              <w:spacing w:after="60" w:before="60" w:line="240" w:lineRule="auto"/>
            </w:pPr>
            <w:r>
              <w:rPr>
                <w:rFonts w:eastAsia="Noto Sans CJK SC"/>
                <w:b w:val="0"/>
                <w:sz w:val="18"/>
              </w:rPr>
              <w:t>805</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Dynamic-Real</w:t>
            </w:r>
          </w:p>
        </w:tc>
        <w:tc>
          <w:tcPr>
            <w:tcW w:type="dxa" w:w="876"/>
            <w:vAlign w:val="center"/>
          </w:tcPr>
          <w:p>
            <w:pPr>
              <w:spacing w:after="60" w:before="60" w:line="240" w:lineRule="auto"/>
            </w:pPr>
            <w:r>
              <w:rPr>
                <w:rFonts w:eastAsia="Noto Sans CJK SC"/>
                <w:b w:val="0"/>
                <w:sz w:val="18"/>
              </w:rPr>
              <w:t>—</w:t>
            </w:r>
          </w:p>
        </w:tc>
        <w:tc>
          <w:tcPr>
            <w:tcW w:type="dxa" w:w="1519"/>
            <w:vAlign w:val="center"/>
          </w:tcPr>
          <w:p>
            <w:pPr>
              <w:spacing w:after="60" w:before="60" w:line="240" w:lineRule="auto"/>
            </w:pPr>
            <w:r>
              <w:rPr>
                <w:rFonts w:eastAsia="Noto Sans CJK SC"/>
                <w:b w:val="0"/>
                <w:sz w:val="18"/>
              </w:rPr>
              <w:t>—</w:t>
            </w:r>
          </w:p>
        </w:tc>
        <w:tc>
          <w:tcPr>
            <w:tcW w:type="dxa" w:w="1578"/>
            <w:vAlign w:val="center"/>
          </w:tcPr>
          <w:p>
            <w:pPr>
              <w:spacing w:after="60" w:before="60" w:line="240" w:lineRule="auto"/>
            </w:pPr>
            <w:r>
              <w:rPr>
                <w:rFonts w:eastAsia="Noto Sans CJK SC"/>
                <w:b w:val="0"/>
                <w:sz w:val="18"/>
              </w:rPr>
              <w:t>80.0%</w:t>
            </w:r>
          </w:p>
        </w:tc>
        <w:tc>
          <w:tcPr>
            <w:tcW w:type="dxa" w:w="2045"/>
            <w:vAlign w:val="center"/>
          </w:tcPr>
          <w:p>
            <w:pPr>
              <w:spacing w:after="60" w:before="60" w:line="240" w:lineRule="auto"/>
            </w:pPr>
            <w:r>
              <w:rPr>
                <w:rFonts w:eastAsia="Noto Sans CJK SC"/>
                <w:b w:val="0"/>
                <w:sz w:val="18"/>
              </w:rPr>
              <w:t>901</w:t>
            </w:r>
          </w:p>
        </w:tc>
        <w:tc>
          <w:tcPr>
            <w:tcW w:type="dxa" w:w="1811"/>
            <w:vAlign w:val="center"/>
          </w:tcPr>
          <w:p>
            <w:pPr>
              <w:spacing w:after="60" w:before="60" w:line="240" w:lineRule="auto"/>
            </w:pPr>
            <w:r>
              <w:rPr>
                <w:rFonts w:eastAsia="Noto Sans CJK SC"/>
                <w:b w:val="0"/>
                <w:sz w:val="18"/>
              </w:rPr>
              <w:t>node + 依赖感知</w:t>
            </w:r>
          </w:p>
        </w:tc>
      </w:tr>
    </w:tbl>
    <w:p>
      <w:pPr>
        <w:pStyle w:val="BodyText"/>
      </w:pPr>
      <w:r>
        <w:t xml:space="preserve">注：Finance 列 40.0% 是异构静态阶段分配 DAG-L/M，不是 Dynamic-Real——Dynamic-Real 从未在 TAT-QA-200 面板上运行。RouteLLM-style 在本文冻结模型池与训练分布下未产生有效切换、退化为始终选择 large；这不应外推为对 RouteLLM 方法本身的判断。配对统计（FINAL_EXPERIMENT_AUDIT.json）：Code 上 cascade 对 Always-Large +5.0pp，bootstrap CI [+1,+10] 但 exact McNemar p=0.0625 未达显著；Self-Refine 对 Always-Large +9.0pp，CI [+4,+15]，McNemar p=0.0039 显著；</w:t>
      </w:r>
      <w:r>
        <w:rPr>
          <w:b/>
        </w:rPr>
        <w:t xml:space="preserve">Self-Refine 对 Dynamic-Real +5.0pp 点估计，CI [−2,+12] 跨零、McNemar p=0.267 未达显著</w:t>
      </w:r>
      <w:r>
        <w:t xml:space="preserve">；Finance 上 cascade −20.0pp（p&lt;1e-10）、Self-Refine −44.5pp（p&lt;1e-10，自批判改坏 90/200、预算违规 80%）。</w:t>
      </w:r>
    </w:p>
    <w:p>
      <w:pPr>
        <w:pStyle w:val="BodyText"/>
      </w:pPr>
      <w:r>
        <w:t xml:space="preserve">三点机制读数：其一，查询级学习路由在两个面板上均退化为强默认，与 4.4 的</w:t>
      </w:r>
      <w:r>
        <w:t xml:space="preserve">“</w:t>
      </w:r>
      <w:r>
        <w:t xml:space="preserve">剩余差距不可稳定学习</w:t>
      </w:r>
      <w:r>
        <w:t xml:space="preserve">”</w:t>
      </w:r>
      <w:r>
        <w:t xml:space="preserve">一致——路由机会不等于可学习的路由信号。其二，同一级联策略在 Finance（置信代理=答案可解析性）上 −20.0pp、在 Code（置信代理=单元测试）上 +5.0pp——</w:t>
      </w:r>
      <w:r>
        <w:t xml:space="preserve">“</w:t>
      </w:r>
      <w:r>
        <w:t xml:space="preserve">反馈可诊断性</w:t>
      </w:r>
      <w:r>
        <w:t xml:space="preserve">”</w:t>
      </w:r>
      <w:r>
        <w:t xml:space="preserve">条件从外部方法一侧被复制。其三，答案级自精修在 Finance 上大量改坏正确答案（8.0%），与 4.10.1 数学域校验节点破坏同属</w:t>
      </w:r>
      <w:r>
        <w:t xml:space="preserve">“</w:t>
      </w:r>
      <w:r>
        <w:t xml:space="preserve">不可靠反馈/验证器本身是破坏源</w:t>
      </w:r>
      <w:r>
        <w:t xml:space="preserve">”</w:t>
      </w:r>
      <w:r>
        <w:t xml:space="preserve">；在 Code 上它成为点估计最强方法（85.0%），但与本文 Dynamic-Real 的配对差异未达统计显著。</w:t>
      </w:r>
      <w:r>
        <w:rPr>
          <w:b/>
        </w:rPr>
        <w:t xml:space="preserve">因此本文方法的核心贡献并非在所有任务域取得最高原始准确率，而在于提供节点级、依赖感知、局部且可审计的动态执行机制</w:t>
      </w:r>
      <w:r>
        <w:t xml:space="preserve">。</w:t>
      </w:r>
    </w:p>
    <w:p>
      <w:pPr>
        <w:pStyle w:val="Heading4"/>
      </w:pPr>
      <w:bookmarkStart w:id="59" w:name="三条件机制分析"/>
      <w:r>
        <w:t xml:space="preserve">4.10.3 三条件机制分析</w:t>
      </w:r>
      <w:bookmarkEnd w:id="59"/>
    </w:p>
    <w:p>
      <w:pPr>
        <w:pStyle w:val="FirstParagraph"/>
      </w:pPr>
      <w:r>
        <w:t xml:space="preserve">本节把跨域观察收敛为三个条件的直接机制证据（全部为零调用重放，冻结日志 + 本地沙箱/评分器复算）。</w:t>
      </w:r>
    </w:p>
    <w:p>
      <w:pPr>
        <w:pStyle w:val="BodyText"/>
      </w:pPr>
      <w:r>
        <w:rPr>
          <w:b/>
        </w:rPr>
        <w:t xml:space="preserve">能力匹配</w:t>
      </w:r>
      <w:r>
        <w:t xml:space="preserve">：同一套冻结阶段先验在财务域成立（类型先验=节点路由，4.4），在 Math500 整体反转（节点路由 13.0% vs 查询路由 50.0%，−37.0pp，McNemar p&lt;1e-10）——分配先验是域特异的，不是默认可迁移的。</w:t>
      </w:r>
    </w:p>
    <w:p>
      <w:pPr>
        <w:pStyle w:val="BodyText"/>
      </w:pPr>
      <w:r>
        <w:rPr>
          <w:b/>
        </w:rPr>
        <w:t xml:space="preserve">接口表达</w:t>
      </w:r>
      <w:r>
        <w:t xml:space="preserve">：TAT-QA 的 56 个 Harm 中真分解失败占 31、接口损失占 25（含 6 例事实顺序/符号错位），且修正全部接口损失后配对差仍为 −8.5pp（CI 不含零）——分解税以真实推理退化为主；Math 两类接口族均塌缩，损失定位到接口与先验双重失配。</w:t>
      </w:r>
    </w:p>
    <w:p>
      <w:pPr>
        <w:pStyle w:val="BodyText"/>
      </w:pPr>
      <w:r>
        <w:rPr>
          <w:b/>
        </w:rPr>
        <w:t xml:space="preserve">反馈可诊断性</w:t>
      </w:r>
      <w:r>
        <w:t xml:space="preserve">：MBPP 的 26 个 static 失败任务，26/26 代码可编译可运行、失败全部来自单元测试断言；Dynamic 修复的 7 个 Help 同样 7/7 依赖断言信号。把反馈降级为</w:t>
      </w:r>
      <w:r>
        <w:t xml:space="preserve">“</w:t>
      </w:r>
      <w:r>
        <w:t xml:space="preserve">仅 syntax/runtime（隐藏断言）</w:t>
      </w:r>
      <w:r>
        <w:t xml:space="preserve">”</w:t>
      </w:r>
      <w:r>
        <w:t xml:space="preserve">重放同一适应机制：Dynamic 80.0% → 73.0%，跌到 Static 74.0% 以下——+6.0pp 增益几乎 100% 由断言信号承载。同一机制、只换反馈信息量，增益即反转。Math 侧对称：67 个 solve 错误中 62 个</w:t>
      </w:r>
      <w:r>
        <w:t xml:space="preserve">“</w:t>
      </w:r>
      <w:r>
        <w:t xml:space="preserve">形式合法但数值错误</w:t>
      </w:r>
      <w:r>
        <w:t xml:space="preserve">”</w:t>
      </w:r>
      <w:r>
        <w:t xml:space="preserve">对 parse/一致性信号完全隐形，动态实际仅触发 6 次升级。财务域既有审计同向：P2 离线检测器 precision 1.0 / recall 33–39%，verifier 一致性信号退化为常发。</w:t>
      </w:r>
    </w:p>
    <w:p>
      <w:pPr>
        <w:pStyle w:val="BodyText"/>
      </w:pPr>
      <w:r>
        <w:t xml:space="preserve">三个条件由此从</w:t>
      </w:r>
      <w:r>
        <w:t xml:space="preserve">“</w:t>
      </w:r>
      <w:r>
        <w:t xml:space="preserve">跨域正负对照的归纳</w:t>
      </w:r>
      <w:r>
        <w:t xml:space="preserve">”</w:t>
      </w:r>
      <w:r>
        <w:t xml:space="preserve">升级为</w:t>
      </w:r>
      <w:r>
        <w:t xml:space="preserve">“</w:t>
      </w:r>
      <w:r>
        <w:t xml:space="preserve">机制级的受控分离</w:t>
      </w:r>
      <w:r>
        <w:t xml:space="preserve">”</w:t>
      </w:r>
      <w:r>
        <w:t xml:space="preserve">：</w:t>
      </w:r>
      <w:r>
        <w:rPr>
          <w:b/>
        </w:rPr>
        <w:t xml:space="preserve">Capability Match + Interface Adequacy + Feedback Diagnosability 共同决定多模型 DAG 协同是否有效</w:t>
      </w:r>
      <w:r>
        <w:t xml:space="preserve">——三者是条件关系，不是数值乘法模型。这一命题在正（财务节点分配、MBPP 动态修复）反（数学塌缩、财务级联/自精修）两个方向上均有冻结协议证据。</w:t>
      </w:r>
    </w:p>
    <w:p>
      <w:pPr>
        <w:pStyle w:val="Heading2"/>
      </w:pPr>
      <w:bookmarkStart w:id="60" w:name="讨论"/>
      <w:r>
        <w:t xml:space="preserve">5 讨论</w:t>
      </w:r>
      <w:bookmarkEnd w:id="60"/>
    </w:p>
    <w:p>
      <w:pPr>
        <w:pStyle w:val="FirstParagraph"/>
      </w:pPr>
      <w:r>
        <w:t xml:space="preserve">本章围绕四个问题组织，而不是复述实验结果：分解为什么不是免费的；条件能力为什么不能直接代表传播能力；Dynamic 为什么不能创造候选之外的能力；多模型 DAG 协同何时有效。四个问题的答案共同收敛到中心命题的三个条件。</w:t>
      </w:r>
    </w:p>
    <w:p>
      <w:pPr>
        <w:pStyle w:val="Heading3"/>
      </w:pPr>
      <w:bookmarkStart w:id="61" w:name="为什么分解不是免费的"/>
      <w:r>
        <w:t xml:space="preserve">5.1 为什么分解不是免费的</w:t>
      </w:r>
      <w:bookmarkEnd w:id="61"/>
    </w:p>
    <w:p>
      <w:pPr>
        <w:pStyle w:val="FirstParagraph"/>
      </w:pPr>
      <w:r>
        <w:t xml:space="preserve">分解在暴露中间接口的同时，也引入三类成本：接口成本（中间产物必须可解析、可传递，任何格式或语义丢失都会成为新失败点）、传播成本（上游输出质量直接约束下游，上游错误不再有机会被整题推理的冗余纠正）与调度成本（节点数与切换次数增加，预算与时间开销上升）。严格配对基准把这三类成本与收益分开计量：同模型拆分本身在 TAT-QA 上显著有害（−21.0pp），在 MultiHiertt 上为不显著的正向信号（+6.0pp）；异构分工追回 +5.0pp，但总体仍未完全抵消（DAG-L/M 31.7% vs Mono-L 38.7%）。因此</w:t>
      </w:r>
      <w:r>
        <w:t xml:space="preserve">“</w:t>
      </w:r>
      <w:r>
        <w:t xml:space="preserve">拆分总提高性能</w:t>
      </w:r>
      <w:r>
        <w:t xml:space="preserve">”</w:t>
      </w:r>
      <w:r>
        <w:t xml:space="preserve">的直觉不成立，DAG 的正确定位是能力解耦接口，而不是精度加速器。</w:t>
      </w:r>
    </w:p>
    <w:p>
      <w:pPr>
        <w:pStyle w:val="BodyText"/>
      </w:pPr>
      <w:r>
        <w:t xml:space="preserve">TAT-QA 上 56 个 Harm 的逐题分类进一步说明分解税的成分：真分解失败 31 例（推理在 gold facts 下仍错），接口损失 25 例（解析/执行失败与 6 例事实顺序/符号错位）。值得强调的反事实是：即便将全部接口损失修正，配对差仍为 −8.5pp 且区间不含零——该域的分解损失以真实推理退化为主，不能归因于实现 bug。复杂度分层同时给出</w:t>
      </w:r>
      <w:r>
        <w:t xml:space="preserve">“</w:t>
      </w:r>
      <w:r>
        <w:t xml:space="preserve">何时值得拆</w:t>
      </w:r>
      <w:r>
        <w:t xml:space="preserve">”</w:t>
      </w:r>
      <w:r>
        <w:t xml:space="preserve">的初步形状：TAT-QA 上分解效应随推导步数单调上升（−27.1 → +21.1 → +50.0pp），简单任务承担了绝大部分分解税。这提示分解决策是任务复杂度依赖的，但 3 步以上子层样本很小，本文只把它作为描述性机制证据，不给出</w:t>
      </w:r>
      <w:r>
        <w:t xml:space="preserve">“</w:t>
      </w:r>
      <w:r>
        <w:t xml:space="preserve">超过某步数必须拆分</w:t>
      </w:r>
      <w:r>
        <w:t xml:space="preserve">”</w:t>
      </w:r>
      <w:r>
        <w:t xml:space="preserve">的规则。</w:t>
      </w:r>
    </w:p>
    <w:p>
      <w:pPr>
        <w:pStyle w:val="Heading3"/>
      </w:pPr>
      <w:bookmarkStart w:id="62" w:name="为什么条件能力不能直接代表传播能力"/>
      <w:r>
        <w:t xml:space="preserve">5.2 为什么条件能力不能直接代表传播能力</w:t>
      </w:r>
      <w:bookmarkEnd w:id="62"/>
    </w:p>
    <w:p>
      <w:pPr>
        <w:pStyle w:val="FirstParagraph"/>
      </w:pPr>
      <w:r>
        <w:t xml:space="preserve">阶段评测揭示的是给定输入条件下的模型表现。条件化推理任务提供标准事实，使推理者主要承担关系识别与表达式构造；实际传播链还要求上游正确识别数值、实体、期间与单位。即使推理模型本身不变，输入来源变化也会改变其可解任务集合。因此条件节点 Oracle 是能力分析工具，不能直接作为完整执行的可达质量——条件口径的最佳固定质量为 0.31、逐任务推理 Oracle 为 0.41，而传播口径的同模型链最佳为 0.18、Oracle 为 0.23；冻结审计给出各面板传播 headroom 5.00/4.50/5.40/5.06pp，共同失败占比约 77%。跨模型矩阵提供更直接的机制证据：固定 medium 或 coder 推理者，更换为 large 抽取后最终质量提高——同模型执行将不同阶段的强弱项绑定，上游缺陷会掩盖下游能力，而 DAG 的作用之一正是使这种绑定可被打破。</w:t>
      </w:r>
    </w:p>
    <w:p>
      <w:pPr>
        <w:pStyle w:val="BodyText"/>
      </w:pPr>
      <w:r>
        <w:t xml:space="preserve">由此得到两个方法论结论。其一，能力画像、条件 Oracle 与传播链质量是三个不同层级的测量，不可直接拼接；用不同任务集上的条件 Oracle 与传播 Oracle 之差估计</w:t>
      </w:r>
      <w:r>
        <w:t xml:space="preserve">“</w:t>
      </w:r>
      <w:r>
        <w:t xml:space="preserve">抽取噪声</w:t>
      </w:r>
      <w:r>
        <w:t xml:space="preserve">”</w:t>
      </w:r>
      <w:r>
        <w:t xml:space="preserve">的因果效应没有依据。其二，单模型成功可预测（传播画像中 ROC-AUC 0.75–0.84）不等于最优模型可路由：多个模型往往同时在简单任务成功、在复杂任务失败，这给单模型分类器提供了明显信号，却不给模型切换提供收益——AUC 对跨任务排序敏感，而路由收益取决于同任务候选差异、评分可比性与切换错误的代价。节点确认面板上类型先验与冻结节点路由质量相同，提示当前可稳定利用的结构主要是阶段差异，而非细粒度实例表示。</w:t>
      </w:r>
    </w:p>
    <w:p>
      <w:pPr>
        <w:pStyle w:val="Heading3"/>
      </w:pPr>
      <w:bookmarkStart w:id="63" w:name="为什么动态适应不能创造能力"/>
      <w:r>
        <w:t xml:space="preserve">5.3 为什么动态适应不能创造能力</w:t>
      </w:r>
      <w:bookmarkEnd w:id="63"/>
    </w:p>
    <w:p>
      <w:pPr>
        <w:pStyle w:val="FirstParagraph"/>
      </w:pPr>
      <w:r>
        <w:t xml:space="preserve">路由和恢复都只能在候选执行结果之间选择：对于给定模型、提示、输入与动作集合，如果所有候选都失败，改进选择本身不能产生其中不存在的正确答案。这是固定候选集合的上限，不是对整个任务可解性的判断。真实失败集合中四个动作的成功并集仅为 8/116（6.90%），局部子图重规划新增覆盖为零（NO-GO）——当前剩余限制不能简单归因于</w:t>
      </w:r>
      <w:r>
        <w:t xml:space="preserve">“</w:t>
      </w:r>
      <w:r>
        <w:t xml:space="preserve">动作选得不够好</w:t>
      </w:r>
      <w:r>
        <w:t xml:space="preserve">”</w:t>
      </w:r>
      <w:r>
        <w:t xml:space="preserve">，而是动作集合里确实缺少成功输出。结构解析诊断进一步提示，找到数值并不等于理解其关系：必要操作数出现在候选证据中，仍可能伴随实体绑定、期间对齐和表达式构造错误。</w:t>
      </w:r>
    </w:p>
    <w:p>
      <w:pPr>
        <w:pStyle w:val="BodyText"/>
      </w:pPr>
      <w:r>
        <w:t xml:space="preserve">这一上限在归因消融中同样成立。四节点 DAG 面板上动态相对静态的 +20.0pp 中，Static-Matched 臂（保持静态语义、仅把恢复目标换成升级目标）单独取得 +18.3pp，策略逻辑超出目标选择的贡献仅 +1.7pp（不显著）——该面板的主要质量增益来自</w:t>
      </w:r>
      <w:r>
        <w:t xml:space="preserve">“</w:t>
      </w:r>
      <w:r>
        <w:t xml:space="preserve">失败节点升级至最强未试模型</w:t>
      </w:r>
      <w:r>
        <w:t xml:space="preserve">”</w:t>
      </w:r>
      <w:r>
        <w:t xml:space="preserve">这一动作本身，而这一动作之所以有效，正是因为候选集合中存在更强的未试模型。动态框架的可确证价值在于以选择性更新（933 次适配调用全部限于失败节点及其后代闭包、分支隔离零违例）与预算约束安全地承载该动作，而不是凭空创造能力。反过来，当候选集合被接口表达力封顶（数学域两类接口族均塌缩）或动作集合覆盖不足（8/116）时，任何调度策略都无法突破该上限。能力覆盖与动作选择因此是两个不同层级的上限，本文的贡献定位是后者。</w:t>
      </w:r>
    </w:p>
    <w:p>
      <w:pPr>
        <w:pStyle w:val="Heading3"/>
      </w:pPr>
      <w:bookmarkStart w:id="64" w:name="多模型有向无环图协同何时有效"/>
      <w:r>
        <w:t xml:space="preserve">5.4 多模型有向无环图协同何时有效</w:t>
      </w:r>
      <w:bookmarkEnd w:id="64"/>
    </w:p>
    <w:p>
      <w:pPr>
        <w:pStyle w:val="FirstParagraph"/>
      </w:pPr>
      <w:r>
        <w:t xml:space="preserve">把前面三问合起来：分解有成本、条件能力不等于传播能力、动态受候选集合上限约束——那么协同的收益条件是什么？跨域正反对照给出统一答案：</w:t>
      </w:r>
      <w:r>
        <w:rPr>
          <w:b/>
        </w:rPr>
        <w:t xml:space="preserve">能力匹配、接口表达与反馈可诊断性三者同时成立</w:t>
      </w:r>
      <w:r>
        <w:t xml:space="preserve">。数学域中冻结自财务域的阶段分配先验整体失配（节点路由 13.0% vs 查询路由 50.0%），两类中间产物式分解接口均丢失表达能力，且 62/67 个求解错误</w:t>
      </w:r>
      <w:r>
        <w:t xml:space="preserve">“</w:t>
      </w:r>
      <w:r>
        <w:t xml:space="preserve">形式合法但数值错误</w:t>
      </w:r>
      <w:r>
        <w:t xml:space="preserve">”</w:t>
      </w:r>
      <w:r>
        <w:t xml:space="preserve">对部署信号完全隐形——分解、异构分配与动态适应同时失效。代码域中节点接口天然可执行、单元测试提供确定性失败反馈，动态真实呈 +6.0pp 的正向支持性证据（bootstrap CI 不含零、exact McNemar p=0.070 未达显著）。MBPP 的反馈降级重放把</w:t>
      </w:r>
      <w:r>
        <w:t xml:space="preserve">“</w:t>
      </w:r>
      <w:r>
        <w:t xml:space="preserve">反馈可诊断性</w:t>
      </w:r>
      <w:r>
        <w:t xml:space="preserve">”</w:t>
      </w:r>
      <w:r>
        <w:t xml:space="preserve">从观察变成受控证据：26/26 个静态失败与 7/7 个被修复的 Help 全部依赖测试断言信号，隐藏断言后同一适应机制的增益从 +6.0pp 反转为 −1.0pp。外部方法比较从另一侧复制了同一结构：级联策略在财务域（置信代理=答案可解析性）−20.0pp、在代码域（置信代理=单元测试）+5.0pp；答案级自精修在财务域大量改坏正确答案（8.0%）、在代码域成为点估计最强方法（85.0%，但与本文 Dynamic-Real 的配对差异未达显著，CI 跨零、p=0.267）。</w:t>
      </w:r>
    </w:p>
    <w:p>
      <w:pPr>
        <w:pStyle w:val="BodyText"/>
      </w:pPr>
      <w:r>
        <w:t xml:space="preserve">这带来两层定位。其一，本文方法不是 universal best solver：在具有高质量单元测试反馈的代码任务中，简单 answer-level refinement 在点估计上取得更高质量且成本更低；本文方法的辨识度在于节点级、依赖感知、局部且可审计的动态执行机制，而非所有任务域的原始准确率领先。其二，强默认、选择性覆盖与预算约束的设计动机仍然成立：Conf-200 的正向信号未在 Conf-500 复现，风险—覆盖率曲线显示扩大干预引入更多 Harm，但都不能为未来数据指定已验证的安全阈值。资源层面同理：历史图复用与预算响应面证明的是</w:t>
      </w:r>
      <w:r>
        <w:t xml:space="preserve">“</w:t>
      </w:r>
      <w:r>
        <w:t xml:space="preserve">已观测动作在给定预算内覆盖多少失败</w:t>
      </w:r>
      <w:r>
        <w:t xml:space="preserve">”</w:t>
      </w:r>
      <w:r>
        <w:t xml:space="preserve">与</w:t>
      </w:r>
      <w:r>
        <w:t xml:space="preserve">“</w:t>
      </w:r>
      <w:r>
        <w:t xml:space="preserve">相关追问的局部重算机制</w:t>
      </w:r>
      <w:r>
        <w:t xml:space="preserve">”</w:t>
      </w:r>
      <w:r>
        <w:t xml:space="preserve">，而不是线上开销预测保证或多轮答案质量——缓存复用不是推理能力提升。</w:t>
      </w:r>
    </w:p>
    <w:p>
      <w:pPr>
        <w:pStyle w:val="BodyText"/>
      </w:pPr>
      <w:r>
        <w:t xml:space="preserve">本文证据的总体边界：精确 Oracle 仅覆盖已枚举的组合空间，完整动态策略空间没有全局最优；动态真实调用面板规模有限且部分读取评价答案；不同面板与估计对象不可拼接；模型池存在大量共同失败、成本异质性有限；服务时间不包含全部启动、排队与调度开销。这些限制共同决定本文结论适合表述为阶段互补、执行边界与选择性适应的机制分析，而不是一个在所有复杂任务上全面占优的系统。三个条件——Capability Match、Interface Adequacy、Feedback Diagnosability——是条件关系而非数值模型，其正反两侧证据（财务节点分配与 MBPP 动态修复为正，数学塌缩与财务级联/自精修为反）均来自冻结协议的一次性运行。</w:t>
      </w:r>
    </w:p>
    <w:p>
      <w:pPr>
        <w:pStyle w:val="Heading2"/>
      </w:pPr>
      <w:bookmarkStart w:id="65" w:name="结论"/>
      <w:r>
        <w:t xml:space="preserve">6 结论</w:t>
      </w:r>
      <w:bookmarkEnd w:id="65"/>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全文围绕一个中心命题组织：</w:t>
      </w:r>
      <w:r>
        <w:rPr>
          <w:b/>
        </w:rPr>
        <w:t xml:space="preserve">多模型 DAG 协同并非天然带来性能提升，其有效性取决于阶段能力匹配、节点接口表达能力和运行反馈可诊断性</w:t>
      </w:r>
      <w:r>
        <w:t xml:space="preserve">。三组证据共同支持这一命题。其一，严格配对分解基准显示同模型拆分本身在 TAT-QA 上显著有害（−21.0pp）、在 MultiHiertt 上为不显著正向信号（+6.0pp），异构阶段分工追回总体 +5.0pp 但未完全抵消分解损耗（DAG-L/M 31.7% 对 Mono-L 38.7%）——DAG 的核心作用是解除阶段能力绑定，而非提高推理精度。其二，反馈驱动的动态适应呈现结构依赖的梯度：两节点链上为方向一致但未确证的小幅正信号；四节点真实 DAG 上选择性动态适应显著优于静态（+20.0pp，CI 不含零），但 Static-Matched 消融把归因说清——主要增益来自</w:t>
      </w:r>
      <w:r>
        <w:t xml:space="preserve">“</w:t>
      </w:r>
      <w:r>
        <w:t xml:space="preserve">失败节点升级至最强未试模型</w:t>
      </w:r>
      <w:r>
        <w:t xml:space="preserve">”</w:t>
      </w:r>
      <w:r>
        <w:t xml:space="preserve">这一动作本身（+18.3pp），动态框架的可确证价值在于以选择性更新与预算约束安全地承载该动作（933 次适配调用全部限于受影响后代、分支隔离零违例、预算违规为零），且部署可得信号可保留 91.7% 的增益。其三，跨域与外部对照给出适用边界：代码域的单元测试反馈驱动动态适应取得 +6.0pp 的正向支持性证据（bootstrap CI 不含零、exact McNemar p=0.070 未达显著），而冻结的阶段先验与验证接口在数学域同时失配、DAG 全面劣于单体；外部方法比较中，答案级迭代精修在代码域点估计更高（85.0% 对 80.0%）但配对差异未达显著，级联策略则随置信信号质量在财务域与代码域符号反转。这些结果共同表明：本文方法不是 universal best solver，其辨识度在于节点级、依赖感知、局部且可审计的动态执行机制。</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动态适应不能创造候选集合中不存在的正确答案，分解也不是免费的——两者共同定义了结构化协同的有效边界。</w:t>
      </w:r>
    </w:p>
    <w:p>
      <w:pPr>
        <w:pStyle w:val="BodyText"/>
      </w:pPr>
      <w:r>
        <w:t xml:space="preserve">这些结论受限于枚举的 3×3 组合空间、尚未优化的完整动态策略空间、大量共同失败、有限的成本与时延异质性、不稳定的剩余路由泛化，以及困难子集上较低的恢复覆盖。未来方向包括：任务复杂度的结构选择（在单体与 DAG 之间按预期分解损失自适应决策，本文的复杂度分层与双选 Oracle 已给出该问题的头room 证据）、更强且更异质的模型池、扩展现有确定性执行器的符号与程序能力、更丰富的工具支持与证据推理、更可靠的选择性覆盖，以及更大动态策略空间中的近似最优决策。这些方向不属于本文已经完成并验证的机制。</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2026-09-21T13:25:42Z</dcterms:created>
  <dcterms:modified xsi:type="dcterms:W3CDTF">2026-09-21T13:25:42Z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