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54.2%，差异不显著；在 250 个全新任务上的一次性冻结确认中该效应方向复现（+2.8pp，95% CI [−0.8,+6.4]），仍未达统计显著。而在含分支与汇合的四节点真实 DAG 面板上，选择性动态适应显著优于静态执行（36.7% 对 16.7%，+20.0pp，95% CI [11.7,28.3]，Help/Harm 28/4），且 933 次适配调用全部限于受影响后代闭包、分支隔离检查零违例、预算违规为零——动态 DAG 的价值在多节点结构下首次得到显著验证。对照消融显示增益主要来自失败节点升级至最强未试模型的动作（同目标静态对照 35.0%），而将失败检测全部换成部署可得信号（解析/执行与输出一致性检查，无 gold 参考）仍保留 91.7% 的增益（35.0%）——动态收益不依赖理想失败检测。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，冻结评分器逐任务重算）给出各面板的传播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5-5 只改变</w:t>
      </w:r>
      <w:r>
        <w:t xml:space="preserve">“</w:t>
      </w:r>
      <w:r>
        <w:t xml:space="preserve">是否拆分</w:t>
      </w:r>
      <w:r>
        <w:t xml:space="preserve">”</w:t>
      </w:r>
      <w:r>
        <w:t xml:space="preserve">，表 5-6 只改变</w:t>
      </w:r>
      <w:r>
        <w:t xml:space="preserve">“</w:t>
      </w:r>
      <w:r>
        <w:t xml:space="preserve">推理模型</w:t>
      </w:r>
      <w:r>
        <w:t xml:space="preserve">”</w:t>
      </w:r>
      <w:r>
        <w:t xml:space="preserve">。</w:t>
      </w:r>
    </w:p>
    <w:p>
      <w:pPr>
        <w:pStyle w:val="BodyText"/>
        <w:keepNext/>
        <w:spacing w:before="160"/>
      </w:pPr>
      <w:r>
        <w:t xml:space="preserve">表 5-5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个百分点且区间不含零。分解不自动带来收益：它引入真实的接口损耗，损耗集中于简单任务（见下表）。</w:t>
      </w:r>
    </w:p>
    <w:p>
      <w:pPr>
        <w:pStyle w:val="BodyText"/>
        <w:keepNext/>
        <w:spacing w:before="160"/>
      </w:pPr>
      <w:r>
        <w:t xml:space="preserve">表 5-6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5-7 复杂度分层下的分解效应（表 5-5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5-8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5-9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5-10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5-11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w:t>
      </w:r>
      <w:r>
        <w:rPr>
          <w:b/>
        </w:rPr>
        <w:t xml:space="preserve">方向在第二个独立面板复现（+2.1 → +2.8），规模一致，但统计上仍未确证</w:t>
      </w:r>
      <w:r>
        <w:t xml:space="preserve">。本文如实报告：动态第二版的端到端质量收益应描述为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。这是本文第一次在含分支与汇合的多节点真实传播下得到 Dynamic 显著优于 Static 的证据。同时如实说明边界：区域受限抽取（仅表格或仅文本）的失败率（158/480 节点槽位）远高于全上下文抽取；校验尾节点几乎在所有任务上都触发适配，动态收益相当部分来自 r/v 升级 large；结论限于该任务结构、单域与理想失败检测条件。</w:t>
      </w:r>
    </w:p>
    <w:p>
      <w:pPr>
        <w:pStyle w:val="BodyText"/>
      </w:pPr>
      <w:r>
        <w:t xml:space="preserve">公平性与真实反馈消融（</w:t>
      </w:r>
      <w:r>
        <w:rPr>
          <w:rStyle w:val="VerbatimChar"/>
        </w:rPr>
        <w:t xml:space="preserve">multidag_ablation_120</w:t>
      </w:r>
      <w:r>
        <w:t xml:space="preserve">，两个预注册对照臂，同一冻结面板，830 次新调用）。</w:t>
      </w:r>
      <w:r>
        <w:rPr>
          <w:b/>
        </w:rPr>
        <w:t xml:space="preserve">Static-Matched 臂</w:t>
      </w:r>
      <w:r>
        <w:t xml:space="preserve">保持静态语义但将恢复目标换成动态的升级目标（r 失败→large、v 失败→large）：Q = 35.0%（+18.3pp，CI [10.0, 26.7]），完整动态策略 36.7%——策略超出目标选择的额外贡献仅 +1.7pp（CI [−4.2, +7.5]，McNemar p=0.77）。</w:t>
      </w:r>
      <w:r>
        <w:rPr>
          <w:b/>
        </w:rPr>
        <w:t xml:space="preserve">归因如实报告：主要质量增益来自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w:t>
      </w:r>
      <w:r>
        <w:rPr>
          <w:b/>
        </w:rPr>
        <w:t xml:space="preserve">Dynamic-RealDetector 臂</w:t>
      </w:r>
      <w:r>
        <w:t xml:space="preserve">将失败检测全部替换为部署可得信号（解析/执行检查加 v 与 r 的输出一致性，无 gold）：Q = 35.0%，</w:t>
      </w:r>
      <w:r>
        <w:rPr>
          <w:b/>
        </w:rPr>
        <w:t xml:space="preserve">增益保留率 91.7%</w:t>
      </w:r>
      <w:r>
        <w:t xml:space="preserve">（CI [77.8%, 100%]），与理想检测无显著差异（p=0.5），成本更低（2,459.5 tokens）。机制边界如实说明：尾节点一致性检查在本面板近乎全触发（离线审计已表明其退化为常发），等价于</w:t>
      </w:r>
      <w:r>
        <w:t xml:space="preserve">“</w:t>
      </w:r>
      <w:r>
        <w:t xml:space="preserve">尾节点总是请求更强模型复核</w:t>
      </w:r>
      <w:r>
        <w:t xml:space="preserve">”</w:t>
      </w:r>
      <w:r>
        <w:t xml:space="preserve">；r 节点的值错误检测不到，但该缺口在本面板代价很小。结论：</w:t>
      </w:r>
      <w:r>
        <w:rPr>
          <w:b/>
        </w:rPr>
        <w:t xml:space="preserve">动态 DAG 的收益不依赖 gold 失败信号</w:t>
      </w:r>
      <w:r>
        <w:t xml:space="preserve">。</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5-12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5-13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w:t>
      </w:r>
      <w:r>
        <w:rPr>
          <w:b/>
        </w:rPr>
        <w:t xml:space="preserve">但</w:t>
      </w:r>
      <w:r>
        <w:rPr>
          <w:b/>
        </w:rPr>
        <w:t xml:space="preserve">“</w:t>
      </w:r>
      <w:r>
        <w:rPr>
          <w:b/>
        </w:rPr>
        <w:t xml:space="preserve">25 条记录均覆盖必要操作数</w:t>
      </w:r>
      <w:r>
        <w:rPr>
          <w:b/>
        </w:rPr>
        <w:t xml:space="preserve">”</w:t>
      </w:r>
      <w:r>
        <w:rPr>
          <w:b/>
        </w:rPr>
        <w:t xml:space="preserve">这一早期工件不可复现</w:t>
      </w:r>
      <w:r>
        <w:t xml:space="preserve">——以当前版本化代码重算，top-30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臂没有已定位的冻结输出，相应口头数字（0%、4%）同样无审计工件支持。节点基准条件口径的 medium 推理 Q = 31% 属另一测量，不移植为该子集的成功率。作为补充，对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3"/>
      </w:pPr>
      <w:bookmarkStart w:id="61" w:name="跨域探索数学推理域探索性负结果已被正式协议接续"/>
      <w:r>
        <w:t xml:space="preserve">5.9 跨域探索：数学推理域（探索性负结果，已被正式协议接续）</w:t>
      </w:r>
      <w:bookmarkEnd w:id="61"/>
    </w:p>
    <w:p>
      <w:pPr>
        <w:pStyle w:val="FirstParagraph"/>
      </w:pPr>
      <w:r>
        <w:t xml:space="preserve">为检验核心机制是否只在财务表格域成立，本文在 Math500 上执行了冻结六臂探索（200 个数值可归一化任务，协议先提交后运行。</w:t>
      </w:r>
      <w:r>
        <w:rPr>
          <w:b/>
        </w:rPr>
        <w:t xml:space="preserve">面板定位声明：该面板从 398 个</w:t>
      </w:r>
      <w:r>
        <w:rPr>
          <w:b/>
        </w:rPr>
        <w:t xml:space="preserve">“</w:t>
      </w:r>
      <w:r>
        <w:rPr>
          <w:b/>
        </w:rPr>
        <w:t xml:space="preserve">纯数值可归一化</w:t>
      </w:r>
      <w:r>
        <w:rPr>
          <w:b/>
        </w:rPr>
        <w:t xml:space="preserve">”</w:t>
      </w:r>
      <w:r>
        <w:rPr>
          <w:b/>
        </w:rPr>
        <w:t xml:space="preserve">任务中选取，系统性排除了 102 个符号型/元组型/文本型答案任务，属探索性诊断面板</w:t>
      </w:r>
      <w:r>
        <w:t xml:space="preserve">；正式跨域主表面板为按答案类型分层抽取的 100 任务协议（</w:t>
      </w:r>
      <w:r>
        <w:rPr>
          <w:rStyle w:val="VerbatimChar"/>
        </w:rPr>
        <w:t xml:space="preserve">p3_xdomain/P3_MATH_FINAL_PROTOCOL.json</w:t>
      </w:r>
      <w:r>
        <w:t xml:space="preserve">，FROZEN_BEFORE_EXECUTION，含全宇宙评分器与发布评分分歧归档）。</w:t>
      </w:r>
      <w:r>
        <w:rPr>
          <w:b/>
        </w:rPr>
        <w:t xml:space="preserve">该正式面板已完成运行并复现塌缩</w:t>
      </w:r>
      <w:r>
        <w:t xml:space="preserve">：单体 large 54.0%、查询路由 50.0%、单体 medium 49.0%，三个 DAG 臂 13.0%—16.0%（静态对 large −39.0pp，CI [−50,−27]，p≈0；动态对静态 +1.0pp，b=1/c=0 无差异；有限候选 Oracle 64%）。值得注意的是正式协议采用了与探索版不同的分解接口（</w:t>
      </w:r>
      <w:r>
        <w:t xml:space="preserve">“</w:t>
      </w:r>
      <w:r>
        <w:t xml:space="preserve">JSON 计划→自由推理→校验</w:t>
      </w:r>
      <w:r>
        <w:t xml:space="preserve">”</w:t>
      </w:r>
      <w:r>
        <w:t xml:space="preserve">而非</w:t>
      </w:r>
      <w:r>
        <w:t xml:space="preserve">“</w:t>
      </w:r>
      <w:r>
        <w:t xml:space="preserve">数值事实→算术表达式</w:t>
      </w:r>
      <w:r>
        <w:t xml:space="preserve">”</w:t>
      </w:r>
      <w:r>
        <w:t xml:space="preserve">），</w:t>
      </w:r>
      <w:r>
        <w:rPr>
          <w:b/>
        </w:rPr>
        <w:t xml:space="preserve">在 Math500 的冻结分层面板上，两类已测试的中间产物式分解接口均出现明显性能退化</w:t>
      </w:r>
      <w:r>
        <w:t xml:space="preserve">（不外推到未测试的数学任务与分解接口）；阶段诊断显示损失分两层：给定计划的求解节点正确率 32%（规划分解损失约 22pp），校验节点再把已答对的一半改错（32%→15%）。以下探索性结果与正式结果方向一致，一并保留；三节点</w:t>
      </w:r>
      <w:r>
        <w:t xml:space="preserve">“</w:t>
      </w:r>
      <w:r>
        <w:t xml:space="preserve">数值抽取→表达式求解→数值校验</w:t>
      </w:r>
      <w:r>
        <w:t xml:space="preserve">”</w:t>
      </w:r>
      <w:r>
        <w:t xml:space="preserve">DAG 与财务域同构；失败检测全部为部署可得信号，运行时不使用标准答案；查询路由以冻结的面板中位 token 长度为阈值）。结果（</w:t>
      </w:r>
      <w:r>
        <w:rPr>
          <w:rStyle w:val="VerbatimChar"/>
        </w:rPr>
        <w:t xml:space="preserve">cross_domain_math/MATH_ANALYSIS.json</w:t>
      </w:r>
      <w:r>
        <w:t xml:space="preserve">）：单体 large 63.5% 显著最优（有限候选 Oracle 69.5%），查询路由 48.0%，单体 medium 37.0%；而三个 DAG 臂全部塌缩到 20.5%—21.5%，且代价更高（690—1,112 tokens）。三个预注册研究问题全部为负：分阶段分配劣于两个单体基线（RQ1 否定：−16.0pp 与 −42.5pp，均 p&lt;10⁻⁴）；节点级分配劣于查询路由（RQ2 否定：−27.0pp，p≈0）；Dynamic-Real 相对 Static 无任何维度改善（RQ3 否定：ΔQ = −1.0pp，CI [−4.5, +2.5]，p = 0.79；成本 +95.7 tokens、时延 +1.78s；预算违规 42/200；干预率 79.5%）。阶段诊断定位机制：抽取解析正常（193/200），但</w:t>
      </w:r>
      <w:r>
        <w:t xml:space="preserve">“</w:t>
      </w:r>
      <w:r>
        <w:t xml:space="preserve">数值事实 + 单条算术表达式</w:t>
      </w:r>
      <w:r>
        <w:t xml:space="preserve">”</w:t>
      </w:r>
      <w:r>
        <w:t xml:space="preserve">接口下求解值正确率仅 11.5%（表达式可执行率 54%）——多步数学推理所需的关系建模与代数变换无法被该接口表达，自由推理的单体模型因此占优；校验节点自由重算（21.0%）反而略好于受约束的表达式求解（11.5%）。</w:t>
      </w:r>
      <w:r>
        <w:rPr>
          <w:b/>
        </w:rPr>
        <w:t xml:space="preserve">结论：财务域的 DAG 收益依赖</w:t>
      </w:r>
      <w:r>
        <w:rPr>
          <w:b/>
        </w:rPr>
        <w:t xml:space="preserve">“</w:t>
      </w:r>
      <w:r>
        <w:rPr>
          <w:b/>
        </w:rPr>
        <w:t xml:space="preserve">任务可分解为数值抽取 + 算术表达式</w:t>
      </w:r>
      <w:r>
        <w:rPr>
          <w:b/>
        </w:rPr>
        <w:t xml:space="preserve">”</w:t>
      </w:r>
      <w:r>
        <w:rPr>
          <w:b/>
        </w:rPr>
        <w:t xml:space="preserve">的接口条件；接口表达力不足时，分解、阶段异构分配与动态适应同时失效</w:t>
      </w:r>
      <w:r>
        <w:t xml:space="preserve">。这与 5.2 分解基准的</w:t>
      </w:r>
      <w:r>
        <w:t xml:space="preserve">“</w:t>
      </w:r>
      <w:r>
        <w:t xml:space="preserve">拆分收益域依赖</w:t>
      </w:r>
      <w:r>
        <w:t xml:space="preserve">”</w:t>
      </w:r>
      <w:r>
        <w:t xml:space="preserve">一致，并将其推进为接口依赖；动态与静态在此无差异也再次印证能力/接口上限优先于调度策略的排序。该负结果按预注册协议原样保留，未做任何事后调整。</w:t>
      </w:r>
    </w:p>
    <w:p>
      <w:pPr>
        <w:pStyle w:val="Heading3"/>
      </w:pPr>
      <w:bookmarkStart w:id="62" w:name="跨域正式验证代码生成域可执行接口与真实反馈"/>
      <w:r>
        <w:t xml:space="preserve">5.10 跨域正式验证：代码生成域（可执行接口与真实反馈）</w:t>
      </w:r>
      <w:bookmarkEnd w:id="62"/>
    </w:p>
    <w:p>
      <w:pPr>
        <w:pStyle w:val="FirstParagraph"/>
      </w:pPr>
      <w:r>
        <w:t xml:space="preserve">代码域采用与财务域不同的自然节点接口：规划→代码生成→单元测试→修复/校验，其中单元测试是运行时反馈节点（语法错误、运行时错误、断言失败均为部署可得信号，全程不读取参考实现或正确性标签）。正式面板为 100 个 MBPP 任务（974 条记录中按 sha256 排序，确定性排除 4 组近重复对中的各一条与 2 个依赖未定义辅助函数的任务；与历史 14,650 条查询零重叠；协议 FROZEN_BEFORE_EXECUTION 先提交后运行，</w:t>
      </w:r>
      <w:r>
        <w:rPr>
          <w:rStyle w:val="VerbatimChar"/>
        </w:rPr>
        <w:t xml:space="preserve">p3_xdomain/P3_CODE_FINAL_PROTOCOL.json</w:t>
      </w:r>
      <w:r>
        <w:t xml:space="preserve">）。六臂同构：单体 medium/large、查询路由（冻结长度阈值）、阶段分配（规划/生成/修复分阶段选模型）、静态 DAG（固定分配与固定回退，不因测试失败改变后续策略）、动态真实（按单元测试失败状态选择性修复/重路由，只更新失败节点及其后继，最大修复次数、token 与调用预算冻结）。结果（</w:t>
      </w:r>
      <w:r>
        <w:rPr>
          <w:rStyle w:val="VerbatimChar"/>
        </w:rPr>
        <w:t xml:space="preserve">p3_xdomain/mbpp_run/RESULTS.json</w:t>
      </w:r>
      <w:r>
        <w:t xml:space="preserve">）：单体 medium 68.0%、large 76.0%、查询路由 71.0%、阶段分配 73.0%、静态 74.0%、</w:t>
      </w:r>
      <w:r>
        <w:rPr>
          <w:b/>
        </w:rPr>
        <w:t xml:space="preserve">动态真实 80.0%</w:t>
      </w:r>
      <w:r>
        <w:t xml:space="preserve">（有限候选 Oracle 87.0%）。配对对比：动态对静态</w:t>
      </w:r>
      <w:r>
        <w:t xml:space="preserve"> </w:t>
      </w:r>
      <w:r>
        <w:rPr>
          <w:b/>
        </w:rPr>
        <w:t xml:space="preserve">+6.0pp，95% CI [+1.0, +12.0] 不含零</w:t>
      </w:r>
      <w:r>
        <w:t xml:space="preserve">（Help/Harm = 7/1；McNemar 精确 p = 0.070，两种检验在 0.05 阈值上的分歧如实报告）；恢复率（初始失败→最终通过）7/26 = 26.9%；修复共 49 次、干预率 27%；代价为动态 +95.7 tokens（+11.9%）且预算违规 22/100——质量收益显著，但以更高成本与预算越限为代价。其余对比均不显著：阶段分配对查询路由 +2.0pp（CI [−7, +11]），静态对单体 large −2.0pp，动态对单体 large +4.0pp（CI [−3, +11]）。</w:t>
      </w:r>
    </w:p>
    <w:p>
      <w:pPr>
        <w:pStyle w:val="BodyText"/>
      </w:pPr>
      <w:r>
        <w:t xml:space="preserve">与 5.9 合读：数学域（探索性）中</w:t>
      </w:r>
      <w:r>
        <w:t xml:space="preserve">“</w:t>
      </w:r>
      <w:r>
        <w:t xml:space="preserve">数值事实 + 算术表达式</w:t>
      </w:r>
      <w:r>
        <w:t xml:space="preserve">”</w:t>
      </w:r>
      <w:r>
        <w:t xml:space="preserve">接口表达力不足，三个 DAG 臂塌缩且动态无效；代码域中节点接口天然可执行、单元测试反馈可靠，动态真实呈正向恢复效果（支持性证据：bootstrap CI 不含零、exact McNemar 未达 0.05 显著）。正式数学面板（分层 100，含与探索版不同的计划式分解接口）已完成并复现塌缩（单体 54% 对 DAG 13%—16%，静态对 large −39.0pp，CI 不含零），且阶段诊断把损失定位到分解接口本身（求解节点 32%）与校验节点破坏（32%→15%）。</w:t>
      </w:r>
      <w:r>
        <w:rPr>
          <w:b/>
        </w:rPr>
        <w:t xml:space="preserve">跨域正反对照由此得到确认：接口表达能力不足时，分解、异构分配与动态适应同时失效（数学域，两类已测试接口族均如此）；接口可执行且反馈可靠时，反馈驱动的动态适应产生正向恢复（代码域）。本文的适用条件命题——多模型 DAG 协同的收益取决于阶段能力互补、节点接口表达能力和运行反馈质量三者同时成立——在正反两个方向上均有冻结协议证据。</w:t>
      </w:r>
      <w:r>
        <w:t xml:space="preserve">代码域的负边界同样如实：阶段分配未显著超过查询路由或单体 large，收益集中于</w:t>
      </w:r>
      <w:r>
        <w:t xml:space="preserve">“</w:t>
      </w:r>
      <w:r>
        <w:t xml:space="preserve">反馈驱动的修复</w:t>
      </w:r>
      <w:r>
        <w:t xml:space="preserve">”</w:t>
      </w:r>
      <w:r>
        <w:t xml:space="preserve">而非</w:t>
      </w:r>
      <w:r>
        <w:t xml:space="preserve">“</w:t>
      </w:r>
      <w:r>
        <w:t xml:space="preserve">阶段分工</w:t>
      </w:r>
      <w:r>
        <w:t xml:space="preserve">”</w:t>
      </w:r>
      <w:r>
        <w:t xml:space="preserve">本身；预算违规 22/100 表明 1.2×静态预算不足以完全约束动态修复开销，部署需收紧预算或上限。</w:t>
      </w:r>
      <w:r>
        <w:t xml:space="preserve"> </w:t>
      </w:r>
      <w:r>
        <w:t xml:space="preserve">## 6 讨论</w:t>
      </w:r>
    </w:p>
    <w:p>
      <w:pPr>
        <w:pStyle w:val="Heading3"/>
      </w:pPr>
      <w:bookmarkStart w:id="63" w:name="条件能力与传播能力的区别"/>
      <w:r>
        <w:t xml:space="preserve">6.1 条件能力与传播能力的区别</w:t>
      </w:r>
      <w:bookmarkEnd w:id="63"/>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4" w:name="单模型可预测性不等于最优模型可路由性"/>
      <w:r>
        <w:t xml:space="preserve">6.2 单模型可预测性不等于最优模型可路由性</w:t>
      </w:r>
      <w:bookmarkEnd w:id="64"/>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5" w:name="选择性干预的作用与边界"/>
      <w:r>
        <w:t xml:space="preserve">6.3 选择性干预的作用与边界</w:t>
      </w:r>
      <w:bookmarkEnd w:id="65"/>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实验链现在可以把</w:t>
      </w:r>
      <w:r>
        <w:t xml:space="preserve">“</w:t>
      </w:r>
      <w:r>
        <w:t xml:space="preserve">分解—分工—适应</w:t>
      </w:r>
      <w:r>
        <w:t xml:space="preserve">”</w:t>
      </w:r>
      <w:r>
        <w:t xml:space="preserve">三层的价值分开计量：严格配对基准显示同模型拆分本身在 TAT-QA 上显著有害（−21.0pp）、MultiHiertt 上不显著（+6.0pp），而异构阶段分工在两域总体 +5.0pp 显著；多节点 DAG 上反馈条件化的动态控制在理想与真实检测下均显著超越静态。三层合读即是本文主线：</w:t>
      </w:r>
      <w:r>
        <w:rPr>
          <w:b/>
        </w:rPr>
        <w:t xml:space="preserve">分解打开阶段解耦接口，异构分工兑现能力互补，动态控制安全且有预算地调用强恢复动作</w:t>
      </w:r>
      <w:r>
        <w:t xml:space="preserve">。动态适应的价值随 DAG 结构深度显现。两节点链面板（48 与 250 任务）上动态第二版只给出方向一致但不显著的小幅正信号；而在含分支与汇合的四节点真实 DAG 上，同一族冻结适应规则带来 +20.0pp 的显著提升（CI 不含零，McNemar p≈1.9×10⁻⁵），且 933 次适配调用全部限于失败节点及其后代闭包、分支隔离零违例、预算违规为零。两个信息合起来读：</w:t>
      </w:r>
      <w:r>
        <w:rPr>
          <w:b/>
        </w:rPr>
        <w:t xml:space="preserve">选择性与预算约束下的动态适应，其收益与</w:t>
      </w:r>
      <w:r>
        <w:rPr>
          <w:b/>
        </w:rPr>
        <w:t xml:space="preserve">“</w:t>
      </w:r>
      <w:r>
        <w:rPr>
          <w:b/>
        </w:rPr>
        <w:t xml:space="preserve">失败能够局部化、受影响后代确实存在可利用替代</w:t>
      </w:r>
      <w:r>
        <w:rPr>
          <w:b/>
        </w:rPr>
        <w:t xml:space="preserve">”</w:t>
      </w:r>
      <w:r>
        <w:rPr>
          <w:b/>
        </w:rPr>
        <w:t xml:space="preserve">的结构条件成正比</w:t>
      </w:r>
      <w:r>
        <w:t xml:space="preserve">——两节点链上可局部化的失败太少，四节点 DAG 上失败可以在分支、汇合与尾节点三个层面被选择性吸收。两臂对照消融进一步把归因说清：把静态对照的恢复目标同样换成升级 large，即可获得 +18.3pp（35.0%），策略逻辑超出目标选择的贡献仅 +1.7pp（不显著）——该面板的主要质量增益来自</w:t>
      </w:r>
      <w:r>
        <w:t xml:space="preserve">“</w:t>
      </w:r>
      <w:r>
        <w:t xml:space="preserve">失败节点升级至最强未试模型</w:t>
      </w:r>
      <w:r>
        <w:t xml:space="preserve">”</w:t>
      </w:r>
      <w:r>
        <w:t xml:space="preserve">这一动作；动态框架的可确证价值在于以选择性更新、预算约束与审计纪律安全地承载它。同时，把失败检测全部替换为部署可得信号后增益保留 91.7%，说明该收益不依赖 gold 失败信号，但部分依赖尾节点一致性检查在本面板近乎全触发的退化特性。因此动态适应的价值仍应表述为对后继决策范围的控制证据与 harm 控制，而非普适的质量保证：结论限于单一任务域。</w:t>
      </w:r>
    </w:p>
    <w:p>
      <w:pPr>
        <w:pStyle w:val="Heading3"/>
      </w:pPr>
      <w:bookmarkStart w:id="66" w:name="能力覆盖与动作选择的不同上限"/>
      <w:r>
        <w:t xml:space="preserve">6.4 能力覆盖与动作选择的不同上限</w:t>
      </w:r>
      <w:bookmarkEnd w:id="66"/>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7" w:name="资源约束与历史复用的作用层次"/>
      <w:r>
        <w:t xml:space="preserve">6.5 资源约束与历史复用的作用层次</w:t>
      </w:r>
      <w:bookmarkEnd w:id="67"/>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8" w:name="有效性限制"/>
      <w:r>
        <w:t xml:space="preserve">6.6 有效性限制</w:t>
      </w:r>
      <w:bookmarkEnd w:id="68"/>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3"/>
      </w:pPr>
      <w:bookmarkStart w:id="69" w:name="跨域负结果的机制含义"/>
      <w:r>
        <w:t xml:space="preserve">6.9 跨域负结果的机制含义</w:t>
      </w:r>
      <w:bookmarkEnd w:id="69"/>
    </w:p>
    <w:p>
      <w:pPr>
        <w:pStyle w:val="FirstParagraph"/>
      </w:pPr>
      <w:r>
        <w:t xml:space="preserve">Math500 六臂对照给出三个预注册问题的全负结果，且失败被定位在接口层而非调度层：抽取正常、表达式可执行过半，但</w:t>
      </w:r>
      <w:r>
        <w:t xml:space="preserve">“</w:t>
      </w:r>
      <w:r>
        <w:t xml:space="preserve">数值事实 + 单条算术表达式</w:t>
      </w:r>
      <w:r>
        <w:t xml:space="preserve">”</w:t>
      </w:r>
      <w:r>
        <w:t xml:space="preserve">接口的求解正确率仅 11.5%，三个 DAG 臂塌缩到约 21%，而自由推理的单体 large 达 63.5%；动态与静态在塌缩区间内无差异。这为财务域的正结果划出明确边界：</w:t>
      </w:r>
      <w:r>
        <w:rPr>
          <w:b/>
        </w:rPr>
        <w:t xml:space="preserve">DAG 化的收益条件是任务可自然表达为</w:t>
      </w:r>
      <w:r>
        <w:rPr>
          <w:b/>
        </w:rPr>
        <w:t xml:space="preserve">“</w:t>
      </w:r>
      <w:r>
        <w:rPr>
          <w:b/>
        </w:rPr>
        <w:t xml:space="preserve">结构化证据抽取 + 确定性可执行计算</w:t>
      </w:r>
      <w:r>
        <w:rPr>
          <w:b/>
        </w:rPr>
        <w:t xml:space="preserve">”</w:t>
      </w:r>
      <w:r>
        <w:rPr>
          <w:b/>
        </w:rPr>
        <w:t xml:space="preserve">，当接口本身丢失完成任务所需的表达能力时，分解、异构分配与动态适应会同时失效</w:t>
      </w:r>
      <w:r>
        <w:t xml:space="preserve">——能力/接口上限对调度策略的优先序在两个方向上都被观察到。代码域的正式跨域实验（100 任务冻结协议）给出了这一边界假设正方向的初步支持：以单元测试为可执行接口与部署反馈，反馈驱动的动态 DAG 相对静态 +6.0pp（CI [+1.0,+12.0]，恢复率 26.9%，Help/Harm 7/1），而阶段分配本身未显著超过查询路由；其代价是 +11.9% tokens 与 22/100 的预算越限。与数学域的塌缩合读（正式分层-100 面板已复现：单体 54% 对 DAG 13%—16%，且两类已测试分解接口族在该面板上均明显退化，校验节点还会破坏已正确的解）：</w:t>
      </w:r>
      <w:r>
        <w:rPr>
          <w:b/>
        </w:rPr>
        <w:t xml:space="preserve">接口表达能力决定 DAG 是否可用，反馈可靠性决定动态适应是否有东西可利用，而阶段分工的额外收益即使在接口良好的域也未达显著</w:t>
      </w:r>
      <w:r>
        <w:t xml:space="preserve">——三层条件的分离是本文跨域部分的中心结论，正反两侧均有冻结协议证据。</w:t>
      </w:r>
      <w:r>
        <w:t xml:space="preserve"> </w:t>
      </w:r>
      <w:r>
        <w:t xml:space="preserve">## 7 结论</w:t>
      </w:r>
    </w:p>
    <w:p>
      <w:pPr>
        <w:pStyle w:val="BodyText"/>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适应的价值在两节点链与多节点 DAG 上呈现梯度：两节点链上为方向一致但未确证的小幅正信号（48 任务 +2.1pp、250 任务冻结确认 +2.8pp，CI 均覆盖零）；在含分支与汇合的四节点真实 DAG 上，选择性动态适应显著优于静态执行（+20.0pp，CI 不含零，Help/Harm 28/4），933 次适配调用全部限于受影响后代、分支隔离零违例、预算违规为零。消融归因表明主要增益来自失败节点升级至最强未试模型的动作（同目标静态对照已达 35.0%），部署可得的解析/执行与一致性检测可保留其中 91.7%——动态收益不依赖理想失败检测，其框架价值在于安全、选择性且可审计地承载该动作；结论仍限于单域面板。</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70" w:name="参考文献"/>
      <w:r>
        <w:t xml:space="preserve">参考文献</w:t>
      </w:r>
      <w:bookmarkEnd w:id="70"/>
    </w:p>
    <w:p>
      <w:pPr>
        <w:pStyle w:val="FirstParagraph"/>
      </w:pPr>
      <w:r>
        <w:t xml:space="preserve">[1] Ong, I., et al. RouteLLM: Learning to Route LLMs with Preference Data. 2024. arXiv:2406.18665.</w:t>
      </w:r>
      <w:r>
        <w:t xml:space="preserve"> </w:t>
      </w:r>
      <w:hyperlink r:id="rId71">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2">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3">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4">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5">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6">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7">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7" Type="http://schemas.openxmlformats.org/officeDocument/2006/relationships/hyperlink" Target="https://aclanthology.org/2021.acl-long.254/" TargetMode="External"/><Relationship Id="rId76" Type="http://schemas.openxmlformats.org/officeDocument/2006/relationships/hyperlink" Target="https://aclanthology.org/2022.acl-long.454/" TargetMode="External"/><Relationship Id="rId74" Type="http://schemas.openxmlformats.org/officeDocument/2006/relationships/hyperlink" Target="https://arxiv.org/abs/2303.17651" TargetMode="External"/><Relationship Id="rId72" Type="http://schemas.openxmlformats.org/officeDocument/2006/relationships/hyperlink" Target="https://arxiv.org/abs/2305.05176" TargetMode="External"/><Relationship Id="rId71" Type="http://schemas.openxmlformats.org/officeDocument/2006/relationships/hyperlink" Target="https://arxiv.org/abs/2406.18665" TargetMode="External"/><Relationship Id="rId75" Type="http://schemas.openxmlformats.org/officeDocument/2006/relationships/hyperlink" Target="https://arxiv.org/abs/2409.07429" TargetMode="External"/><Relationship Id="rId73"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7" Type="http://schemas.openxmlformats.org/officeDocument/2006/relationships/hyperlink" Target="https://aclanthology.org/2021.acl-long.254/" TargetMode="External"/><Relationship Id="rId76" Type="http://schemas.openxmlformats.org/officeDocument/2006/relationships/hyperlink" Target="https://aclanthology.org/2022.acl-long.454/" TargetMode="External"/><Relationship Id="rId74" Type="http://schemas.openxmlformats.org/officeDocument/2006/relationships/hyperlink" Target="https://arxiv.org/abs/2303.17651" TargetMode="External"/><Relationship Id="rId72" Type="http://schemas.openxmlformats.org/officeDocument/2006/relationships/hyperlink" Target="https://arxiv.org/abs/2305.05176" TargetMode="External"/><Relationship Id="rId71" Type="http://schemas.openxmlformats.org/officeDocument/2006/relationships/hyperlink" Target="https://arxiv.org/abs/2406.18665" TargetMode="External"/><Relationship Id="rId75" Type="http://schemas.openxmlformats.org/officeDocument/2006/relationships/hyperlink" Target="https://arxiv.org/abs/2409.07429" TargetMode="External"/><Relationship Id="rId73"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2026-09-21T11:17:17Z</dcterms:created>
  <dcterms:modified xsi:type="dcterms:W3CDTF">2026-09-21T11:17:17Z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