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面向复杂任务的反馈感知多模型自适应有向无环图路由"/>
      <w:r>
        <w:t xml:space="preserve">面向复杂任务的反馈感知多模型自适应有向无环图路由</w:t>
      </w:r>
      <w:bookmarkEnd w:id="20"/>
    </w:p>
    <w:p>
      <w:pPr>
        <w:pStyle w:val="BlockText"/>
      </w:pPr>
      <w:r>
        <w:t xml:space="preserve">第一版证据重构稿，2026 年 9 月 20 日。方法名称保留为 Feedback-aware Adaptive DAG Routing。所有章、节标题采用中文。方括号证据编号对应同目录 PAPER_EVIDENCE_MAP.md。各章</w:t>
      </w:r>
      <w:r>
        <w:t xml:space="preserve">“</w:t>
      </w:r>
      <w:r>
        <w:t xml:space="preserve">待我确认项</w:t>
      </w:r>
      <w:r>
        <w:t xml:space="preserve">”</w:t>
      </w:r>
      <w:r>
        <w:t xml:space="preserve">为审阅批注，投稿前移除。本文不将真实调用自动等同于可部署在线评价。</w:t>
      </w:r>
    </w:p>
    <w:p>
      <w:pPr>
        <w:pStyle w:val="Heading2"/>
      </w:pPr>
      <w:bookmarkStart w:id="21" w:name="摘要"/>
      <w:r>
        <w:t xml:space="preserve">摘要</w:t>
      </w:r>
      <w:bookmarkEnd w:id="21"/>
    </w:p>
    <w:p>
      <w:pPr>
        <w:pStyle w:val="FirstParagraph"/>
      </w:pPr>
      <w:r>
        <w:t xml:space="preserve">复杂任务往往同时包含事实抽取、关系推理与结果验证，不同节点的能力需求使单次查询级模型选择难以充分利用模型池的异构性。然而，增加分解、重试或模型切换也不必然改善最终答案，其收益受到上游证据、失败判据和剩余资源的共同约束。本文提出反馈感知的多模型自适应有向无环图路由框架，以质量、成本和时延画像支持初始节点分配，在执行过程中记录反馈，通过选择性后继调整与预算感知恢复更新执行策略，并利用版本化历史图支持多轮复用。本文将动态执行定义为反馈条件化的后续策略调整，而非必须重写图拓扑。基于 MultiHiertt 和 TAT-QA 的分层评价显示：在 100 任务、493 个主要节点的条件化确认面板上，冻结节点路由的平均质量为 0.5355，相比查询路由提高 6.90 个百分点；类型先验取得相同平均质量，表明增益主要来自路由粒度。在已分析的 48 任务真实调用面板上，动态第二版与静态策略分别完成 26 和 25 个任务，差异不显著，但观察到的帮助/损害由第一版的 2/1 变为 1/0。该实验采用理想失败检测，不能作为完全在线闭环的证据。对 148 个候选失败节点重新审计后，仅 116 个对应原最终答案错误；固定四类恢复动作的覆盖为 8/116。历史图在 20 个修改型追问中减少 50% 的逻辑调用需求，但尚未证明最终答案质量。结果支持节点粒度与受约束反馈调度的价值，同时表明动态策略只能利用当前候选动作中已存在的互补机会，不能保证恢复共同失败的任务。</w:t>
      </w:r>
    </w:p>
    <w:p>
      <w:pPr>
        <w:pStyle w:val="BodyText"/>
      </w:pPr>
      <w:r>
        <w:t xml:space="preserve">关键词：大模型路由；节点能力画像；有向无环图；反馈驱动执行；预算感知恢复；历史图复用</w:t>
      </w:r>
    </w:p>
    <w:p>
      <w:pPr>
        <w:pStyle w:val="BodyText"/>
      </w:pPr>
      <w:r>
        <w:rPr>
          <w:b/>
        </w:rPr>
        <w:t xml:space="preserve">待我确认项：</w:t>
      </w:r>
      <w:r>
        <w:t xml:space="preserve"> </w:t>
      </w:r>
      <w:r>
        <w:t xml:space="preserve">动态真实调用结果保留理想失败检测限定；摘要不使用旧稿中未经审计的高恢复率。</w:t>
      </w:r>
    </w:p>
    <w:p>
      <w:pPr>
        <w:pStyle w:val="Heading2"/>
      </w:pPr>
      <w:bookmarkStart w:id="22" w:name="引言"/>
      <w:r>
        <w:t xml:space="preserve">1 引言</w:t>
      </w:r>
      <w:bookmarkEnd w:id="22"/>
    </w:p>
    <w:p>
      <w:pPr>
        <w:pStyle w:val="Heading3"/>
      </w:pPr>
      <w:bookmarkStart w:id="23" w:name="研究背景与动机"/>
      <w:r>
        <w:t xml:space="preserve">1.1 研究背景与动机</w:t>
      </w:r>
      <w:bookmarkEnd w:id="23"/>
    </w:p>
    <w:p>
      <w:pPr>
        <w:pStyle w:val="FirstParagraph"/>
      </w:pPr>
      <w:r>
        <w:t xml:space="preserve">大语言模型（Large Language Model，LLM）的能力与执行开销存在差异。对复杂请求而言，这种差异不仅发生在完整问题之间，还可能发生在同一问题内部：从长材料中提取数值、确定比较关系、形成运算表达式以及验证结果分别要求不同能力。将完整任务交给单一模型，使所有步骤共享同一能力结构；即使任务总体相似，关键步骤也可能具有不同的适配模型。</w:t>
      </w:r>
    </w:p>
    <w:p>
      <w:pPr>
        <w:pStyle w:val="BodyText"/>
      </w:pPr>
      <w:r>
        <w:t xml:space="preserve">查询级路由为模型选择提供了有效接口，但复杂任务的执行还有两个额外因素。首先，前驱输出决定后继输入，局部错误能够沿依赖关系传播。其次，任务进行到中途时，原有资源预算已部分消耗，新的选择必须同时考虑当前状态和剩余资源。只优化初始选择，不能表达这些变化。显式有向无环图（Directed Acyclic Graph，DAG）使中间结果、依赖与模型分配成为可检查对象，为运行中的反馈调度提供基础。</w:t>
      </w:r>
    </w:p>
    <w:p>
      <w:pPr>
        <w:pStyle w:val="BodyText"/>
      </w:pPr>
      <w:r>
        <w:t xml:space="preserve">然而，显式分解和动态调整本身具有成本。额外节点可能增加错误接口；重试可能重复相同输出；切换模型也可能破坏原本正确的结果。因此，本文不以更多执行步骤作为方法有效性的代理，而分别检验节点分配、失败恢复、错误传播和多轮复用的收益及边界。</w:t>
      </w:r>
    </w:p>
    <w:p>
      <w:pPr>
        <w:pStyle w:val="Heading3"/>
      </w:pPr>
      <w:bookmarkStart w:id="24" w:name="研究问题"/>
      <w:r>
        <w:t xml:space="preserve">1.2 研究问题</w:t>
      </w:r>
      <w:bookmarkEnd w:id="24"/>
    </w:p>
    <w:p>
      <w:pPr>
        <w:pStyle w:val="FirstParagraph"/>
      </w:pPr>
      <w:r>
        <w:t xml:space="preserve">本文研究：在复杂任务的 DAG 执行过程中，系统如何依据离线模型画像建立初始分配，并结合执行反馈调整受影响的后续策略，在质量、成本与时延约束下完成多模型协同？这一问题包含三项相互关联的判断：何种粒度能够利用能力差异；何时值得改变既有计划；何种历史结果能够在新请求中继续使用。</w:t>
      </w:r>
    </w:p>
    <w:p>
      <w:pPr>
        <w:pStyle w:val="BodyText"/>
      </w:pPr>
      <w:r>
        <w:t xml:space="preserve">评价这些判断必须区分预测质量与任务成功、节点缺陷与最终失败、真实模型调用与真实在线决策。若恢复仅在评价答案判错时触发，则模型输出虽来自真实调用，调度器仍获得了实际部署中不可用的信息；若一个被标为证据缺失的节点对应正确最终答案，再次答对不能算作恢复。本文将这些信息边界纳入实验设计与结果解释。</w:t>
      </w:r>
    </w:p>
    <w:p>
      <w:pPr>
        <w:pStyle w:val="Heading3"/>
      </w:pPr>
      <w:bookmarkStart w:id="25" w:name="方法概览"/>
      <w:r>
        <w:t xml:space="preserve">1.3 方法概览</w:t>
      </w:r>
      <w:bookmarkEnd w:id="25"/>
    </w:p>
    <w:p>
      <w:pPr>
        <w:pStyle w:val="FirstParagraph"/>
      </w:pPr>
      <w:r>
        <w:t xml:space="preserve">框架沿</w:t>
      </w:r>
      <w:r>
        <w:t xml:space="preserve">“</w:t>
      </w:r>
      <w:r>
        <w:t xml:space="preserve">模型能力画像—控制路由—任务分解—初始图—静态或动态执行—历史图复用—多目标决策</w:t>
      </w:r>
      <w:r>
        <w:t xml:space="preserve">”</w:t>
      </w:r>
      <w:r>
        <w:t xml:space="preserve">组织。离线画像描述候选模型的预期质量和资源开销；任务分解产生带有输入输出约定的节点；初始路由为各节点分配执行模型。静态策略保留后继计划，允许在当前失败节点执行预定义局部回退。动态策略依据反馈状态选择性地调整受影响后继的模型和恢复安排，并在预算不足时停止升级。</w:t>
      </w:r>
    </w:p>
    <w:p>
      <w:pPr>
        <w:pStyle w:val="BodyText"/>
      </w:pPr>
      <w:r>
        <w:t xml:space="preserve">反馈记忆记录模型在特定状态下的表现，历史图则保存具体任务的依赖、输出及版本。前者服务于后续选择，后者减少重复执行。多目标决策贯穿这些环节，以共同的质量、成本、时延口径比较可行策略，而不额外提出新的通用优化算法。</w:t>
      </w:r>
    </w:p>
    <w:p>
      <w:pPr>
        <w:pStyle w:val="Heading3"/>
      </w:pPr>
      <w:bookmarkStart w:id="26" w:name="主要贡献"/>
      <w:r>
        <w:t xml:space="preserve">1.4 主要贡献</w:t>
      </w:r>
      <w:bookmarkEnd w:id="26"/>
    </w:p>
    <w:p>
      <w:pPr>
        <w:pStyle w:val="FirstParagraph"/>
      </w:pPr>
      <w:r>
        <w:t xml:space="preserve">第一，构建基于类型化任务节点的多模型路由框架，并通过冻结确认和类型先验消融定位增益来源。实验支持节点粒度的有效性，不支持学习式问题表示在所有域上稳定优于类型先验。</w:t>
      </w:r>
    </w:p>
    <w:p>
      <w:pPr>
        <w:pStyle w:val="BodyText"/>
      </w:pPr>
      <w:r>
        <w:t xml:space="preserve">第二，给出反馈条件化的动态执行实例，将局部恢复、后继调整与剩余预算联系起来，并通过真实调用、受控故障和失败判据审计识别其适用边界。最新动态策略的主要证据是观测到更少的负迁移，而非显著的总体准确率优势。</w:t>
      </w:r>
    </w:p>
    <w:p>
      <w:pPr>
        <w:pStyle w:val="BodyText"/>
      </w:pPr>
      <w:r>
        <w:t xml:space="preserve">第三，将版本化历史图复用与质量—资源权衡纳入同一执行框架。现有实验证明特定追问负载下的复用与调用节省机制，并以固定恢复输出上的预算响应面展示资源约束如何限制可利用的恢复机会。</w:t>
      </w:r>
    </w:p>
    <w:p>
      <w:pPr>
        <w:pStyle w:val="BodyText"/>
      </w:pPr>
      <w:r>
        <w:rPr>
          <w:b/>
        </w:rPr>
        <w:t xml:space="preserve">待我确认项：</w:t>
      </w:r>
      <w:r>
        <w:t xml:space="preserve"> </w:t>
      </w:r>
      <w:r>
        <w:t xml:space="preserve">本文以受约束执行框架和机制证据作为贡献，不以学习式路由器、拓扑搜索器或新多目标算法作为已证实贡献。</w:t>
      </w:r>
    </w:p>
    <w:p>
      <w:pPr>
        <w:pStyle w:val="Heading2"/>
      </w:pPr>
      <w:bookmarkStart w:id="27" w:name="相关工作"/>
      <w:r>
        <w:t xml:space="preserve">2 相关工作</w:t>
      </w:r>
      <w:bookmarkEnd w:id="27"/>
    </w:p>
    <w:p>
      <w:pPr>
        <w:pStyle w:val="Heading3"/>
      </w:pPr>
      <w:bookmarkStart w:id="28" w:name="大模型路由与模型能力画像"/>
      <w:r>
        <w:t xml:space="preserve">2.1 大模型路由与模型能力画像</w:t>
      </w:r>
      <w:bookmarkEnd w:id="28"/>
    </w:p>
    <w:p>
      <w:pPr>
        <w:pStyle w:val="FirstParagraph"/>
      </w:pPr>
      <w:r>
        <w:t xml:space="preserve">RouteLLM 利用偏好数据学习查询到候选模型的选择，并评价质量与成本权衡。[1] 本文与其共享通过预测能力分配模型的目标，但选择对象为同一任务内部的类型化节点，且进一步研究执行后状态变化。节点基准的正差距并不意味着该差距一定可由问题编码预测，因此本文保留类型先验和事后最优选择作为不同参照。</w:t>
      </w:r>
    </w:p>
    <w:p>
      <w:pPr>
        <w:pStyle w:val="BodyText"/>
      </w:pPr>
      <w:r>
        <w:t xml:space="preserve">FrugalGPT 研究通过模型调用策略降低开销并维持质量。[2] 本文同样关注有限资源下的选择，但将资源状态放在具有依赖关系的执行链中：一个恢复动作既消耗剩余预算，也改变后继输入。该区别是研究对象的细化，不构成对既有路由方法全面失效的判断。</w:t>
      </w:r>
    </w:p>
    <w:p>
      <w:pPr>
        <w:pStyle w:val="Heading3"/>
      </w:pPr>
      <w:bookmarkStart w:id="29" w:name="任务分解与依赖图执行"/>
      <w:r>
        <w:t xml:space="preserve">2.2 任务分解与依赖图执行</w:t>
      </w:r>
      <w:bookmarkEnd w:id="29"/>
    </w:p>
    <w:p>
      <w:pPr>
        <w:pStyle w:val="FirstParagraph"/>
      </w:pPr>
      <w:r>
        <w:t xml:space="preserve">LLMCompiler 将规划、任务分发与执行分开，利用依赖结构组织函数调用，并包含动态重新规划机制。[3] 本文借鉴显式依赖使执行过程可检查的组织思想，关注不同 LLM 在节点上的分工，以及失败后是否存在值得利用的替代能力。实验使用有限财务任务模板和小型链式图，不能据此宣称通用规划能力，也不将串行服务时长解释为并行图调度加速。</w:t>
      </w:r>
    </w:p>
    <w:p>
      <w:pPr>
        <w:pStyle w:val="BodyText"/>
      </w:pPr>
      <w:r>
        <w:t xml:space="preserve">任务分解能够暴露中间接口，也增加接口错误和证据遗漏的机会。本文因此将整题作答与 DAG 比较、复杂度分层和结构指标放在同一分析中，检验分解何时有益，而非预设分解必然改善推理。</w:t>
      </w:r>
    </w:p>
    <w:p>
      <w:pPr>
        <w:pStyle w:val="Heading3"/>
      </w:pPr>
      <w:bookmarkStart w:id="30" w:name="反馈驱动的自适应执行"/>
      <w:r>
        <w:t xml:space="preserve">2.3 反馈驱动的自适应执行</w:t>
      </w:r>
      <w:bookmarkEnd w:id="30"/>
    </w:p>
    <w:p>
      <w:pPr>
        <w:pStyle w:val="FirstParagraph"/>
      </w:pPr>
      <w:r>
        <w:t xml:space="preserve">Self-Refine 通过反馈与修订迭代改进生成结果。[4] 本文关注的反馈作用对象包括执行模型、局部恢复动作与后续计划，除了输出修订，还需要处理依赖失效和资源消耗。本文也将反馈信号的可靠性作为实验变量：标准答案可以支持离线判定，却不能等同于在线可得反馈。</w:t>
      </w:r>
    </w:p>
    <w:p>
      <w:pPr>
        <w:pStyle w:val="BodyText"/>
      </w:pPr>
      <w:r>
        <w:t xml:space="preserve">因此，本文对反馈驱动执行的补充主要在于明确调度和评价边界。相同提示的重试、使用新提示的再次生成，以及根据金标准筛选正确候选，是不同操作，应分别记录和解释。</w:t>
      </w:r>
    </w:p>
    <w:p>
      <w:pPr>
        <w:pStyle w:val="Heading3"/>
      </w:pPr>
      <w:bookmarkStart w:id="31" w:name="多目标执行与历史记忆"/>
      <w:r>
        <w:t xml:space="preserve">2.4 多目标执行与历史记忆</w:t>
      </w:r>
      <w:bookmarkEnd w:id="31"/>
    </w:p>
    <w:p>
      <w:pPr>
        <w:pStyle w:val="FirstParagraph"/>
      </w:pPr>
      <w:r>
        <w:t xml:space="preserve">Agent Workflow Memory 从历史经验中形成可复用工作流程，为后续任务提供执行指导。[5] 本文的图森林重点保存具体任务的输入输出、依赖和版本，通过显式修改定位需要重算的部分。当前实现并不等同于通用语义工作流检索，也没有充分验证大规模图剪枝。</w:t>
      </w:r>
    </w:p>
    <w:p>
      <w:pPr>
        <w:pStyle w:val="BodyText"/>
      </w:pPr>
      <w:r>
        <w:t xml:space="preserve">质量、调用成本与时延的权衡可通过约束优化和非支配关系表达。本文采用这些已有决策概念比较有限策略，主要考察约束如何改变恢复机会，以及复用如何减少资源需求，不将采用帕累托准则本身作为算法创新。</w:t>
      </w:r>
    </w:p>
    <w:p>
      <w:pPr>
        <w:pStyle w:val="BodyText"/>
      </w:pPr>
      <w:r>
        <w:rPr>
          <w:b/>
        </w:rPr>
        <w:t xml:space="preserve">待我确认项：</w:t>
      </w:r>
      <w:r>
        <w:t xml:space="preserve"> </w:t>
      </w:r>
      <w:r>
        <w:t xml:space="preserve">项目中找到相关工作草稿，但未定位用户提到的参考论文原文附件；本版书目信息来自已核验的原论文页面。若另有指定论文，应在定稿时替换结构参照，不能声称本版已阅读这些未定位附件。</w:t>
      </w:r>
    </w:p>
    <w:p>
      <w:pPr>
        <w:pStyle w:val="Heading2"/>
      </w:pPr>
      <w:bookmarkStart w:id="32" w:name="方法"/>
      <w:r>
        <w:t xml:space="preserve">3 方法</w:t>
      </w:r>
      <w:bookmarkEnd w:id="32"/>
    </w:p>
    <w:p>
      <w:pPr>
        <w:pStyle w:val="Heading3"/>
      </w:pPr>
      <w:bookmarkStart w:id="33" w:name="框架概览"/>
      <w:r>
        <w:t xml:space="preserve">3.1 框架概览</w:t>
      </w:r>
      <w:bookmarkEnd w:id="33"/>
    </w:p>
    <w:p>
      <w:pPr>
        <w:pStyle w:val="FirstParagraph"/>
      </w:pPr>
      <w:r>
        <w:t xml:space="preserve">设用户任务为 x、材料为 D、候选模型池为 M。系统构造初始图 G₀=(V₀,E₀)，获得初始分配 π₀，并维护状态 sₜ、反馈记忆 Hₜ 与历史图集合 Fₜ。一次执行决策使用当前可见输入、历史反馈和剩余预算，输出下一执行节点及其执行者。该过程表示为</w:t>
      </w:r>
    </w:p>
    <w:p>
      <w:pPr>
        <w:pStyle w:val="BodyText"/>
      </w:pPr>
      <m:oMathPara>
        <m:oMathParaPr>
          <m:jc m:val="center"/>
        </m:oMathParaPr>
        <m:oMath>
          <m:r>
            <m:t>(</m:t>
          </m:r>
          <m:r>
            <m:t>x</m:t>
          </m:r>
          <m:r>
            <m:t>,</m:t>
          </m:r>
          <m:r>
            <m:t>D</m:t>
          </m:r>
          <m:r>
            <m:t>)</m:t>
          </m:r>
          <m:r>
            <m:t>→</m:t>
          </m:r>
          <m:sSub>
            <m:e>
              <m:r>
                <m:t>G</m:t>
              </m:r>
            </m:e>
            <m:sub>
              <m:r>
                <m:t>0</m:t>
              </m:r>
            </m:sub>
          </m:sSub>
          <m:r>
            <m:t>→</m:t>
          </m:r>
          <m:sSub>
            <m:e>
              <m:r>
                <m:t>π</m:t>
              </m:r>
            </m:e>
            <m:sub>
              <m:r>
                <m:t>0</m:t>
              </m:r>
            </m:sub>
          </m:sSub>
          <m:r>
            <m:t>→</m:t>
          </m:r>
          <m:r>
            <m:t>(</m:t>
          </m:r>
          <m:sSub>
            <m:e>
              <m:r>
                <m:t>y</m:t>
              </m:r>
            </m:e>
            <m:sub>
              <m:r>
                <m:t>t</m:t>
              </m:r>
            </m:sub>
          </m:sSub>
          <m:r>
            <m:t>,</m:t>
          </m:r>
          <m:sSub>
            <m:e>
              <m:r>
                <m:t>s</m:t>
              </m:r>
            </m:e>
            <m:sub>
              <m:r>
                <m:t>t</m:t>
              </m:r>
              <m:r>
                <m:t>+</m:t>
              </m:r>
              <m:r>
                <m:t>1</m:t>
              </m:r>
            </m:sub>
          </m:sSub>
          <m:r>
            <m:t>,</m:t>
          </m:r>
          <m:sSub>
            <m:e>
              <m:r>
                <m:t>H</m:t>
              </m:r>
            </m:e>
            <m:sub>
              <m:r>
                <m:t>t</m:t>
              </m:r>
              <m:r>
                <m:t>+</m:t>
              </m:r>
              <m:r>
                <m:t>1</m:t>
              </m:r>
            </m:sub>
          </m:sSub>
          <m:r>
            <m:t>)</m:t>
          </m:r>
          <m:r>
            <m:t>→</m:t>
          </m:r>
          <m:r>
            <m:t>(</m:t>
          </m:r>
          <m:sSub>
            <m:e>
              <m:r>
                <m:t>G</m:t>
              </m:r>
            </m:e>
            <m:sub>
              <m:r>
                <m:t>t</m:t>
              </m:r>
              <m:r>
                <m:t>+</m:t>
              </m:r>
              <m:r>
                <m:t>1</m:t>
              </m:r>
            </m:sub>
          </m:sSub>
          <m:r>
            <m:t>,</m:t>
          </m:r>
          <m:sSub>
            <m:e>
              <m:r>
                <m:t>π</m:t>
              </m:r>
            </m:e>
            <m:sub>
              <m:r>
                <m:t>t</m:t>
              </m:r>
              <m:r>
                <m:t>+</m:t>
              </m:r>
              <m:r>
                <m:t>1</m:t>
              </m:r>
            </m:sub>
          </m:sSub>
          <m:r>
            <m:t>)</m:t>
          </m:r>
          <m:r>
            <m:t>→</m:t>
          </m:r>
          <m:sSub>
            <m:e>
              <m:r>
                <m:t>F</m:t>
              </m:r>
            </m:e>
            <m:sub>
              <m:r>
                <m:t>t</m:t>
              </m:r>
              <m:r>
                <m:t>+</m:t>
              </m:r>
              <m:r>
                <m:t>1</m:t>
              </m:r>
            </m:sub>
          </m:sSub>
          <m:r>
            <m:t>.</m:t>
          </m:r>
        </m:oMath>
      </m:oMathPara>
    </w:p>
    <w:p>
      <w:pPr>
        <w:pStyle w:val="FirstParagraph"/>
      </w:pPr>
      <w:r>
        <w:t xml:space="preserve">其中，图结构可以保持不变；动态性来自后续策略依赖新的反馈。模型负责语义理解、关系生成和验证，已有确定性执行器负责表达式求值。系统不将可由程序精确执行的算术反复交给模型生成。</w:t>
      </w:r>
    </w:p>
    <w:p>
      <w:pPr>
        <w:pStyle w:val="Heading3"/>
      </w:pPr>
      <w:bookmarkStart w:id="34" w:name="模型能力画像"/>
      <w:r>
        <w:t xml:space="preserve">3.2 模型能力画像</w:t>
      </w:r>
      <w:bookmarkEnd w:id="34"/>
    </w:p>
    <w:p>
      <w:pPr>
        <w:pStyle w:val="FirstParagraph"/>
      </w:pPr>
      <w:r>
        <w:t xml:space="preserve">对类型为 τᵢ 的节点 vᵢ 和模型 m，画像描述预期质量、tokens 与服务时长：</w:t>
      </w:r>
    </w:p>
    <w:p>
      <w:pPr>
        <w:pStyle w:val="BodyText"/>
      </w:pPr>
      <m:oMathPara>
        <m:oMathParaPr>
          <m:jc m:val="center"/>
        </m:oMathParaPr>
        <m:oMath>
          <m:acc>
            <m:accPr>
              <m:chr m:val="̂"/>
            </m:accPr>
            <m:e>
              <m:r>
                <m:t>Q</m:t>
              </m:r>
            </m:e>
          </m:acc>
          <m:r>
            <m:t>(</m:t>
          </m:r>
          <m:r>
            <m:t>i</m:t>
          </m:r>
          <m:r>
            <m:t>,</m:t>
          </m:r>
          <m:r>
            <m:t>m</m:t>
          </m:r>
          <m:r>
            <m:t>)</m:t>
          </m:r>
          <m:r>
            <m:t>,</m:t>
          </m:r>
          <m:r>
            <m:t> </m:t>
          </m:r>
          <m:acc>
            <m:accPr>
              <m:chr m:val="̂"/>
            </m:accPr>
            <m:e>
              <m:r>
                <m:t>C</m:t>
              </m:r>
            </m:e>
          </m:acc>
          <m:r>
            <m:t>(</m:t>
          </m:r>
          <m:r>
            <m:t>i</m:t>
          </m:r>
          <m:r>
            <m:t>,</m:t>
          </m:r>
          <m:r>
            <m:t>m</m:t>
          </m:r>
          <m:r>
            <m:t>)</m:t>
          </m:r>
          <m:r>
            <m:t>,</m:t>
          </m:r>
          <m:r>
            <m:t> </m:t>
          </m:r>
          <m:acc>
            <m:accPr>
              <m:chr m:val="̂"/>
            </m:accPr>
            <m:e>
              <m:r>
                <m:t>L</m:t>
              </m:r>
            </m:e>
          </m:acc>
          <m:r>
            <m:t>(</m:t>
          </m:r>
          <m:r>
            <m:t>i</m:t>
          </m:r>
          <m:r>
            <m:t>,</m:t>
          </m:r>
          <m:r>
            <m:t>m</m:t>
          </m:r>
          <m:r>
            <m:t>)</m:t>
          </m:r>
          <m:r>
            <m:t>.</m:t>
          </m:r>
        </m:oMath>
      </m:oMathPara>
    </w:p>
    <w:p>
      <w:pPr>
        <w:pStyle w:val="FirstParagraph"/>
      </w:pPr>
      <w:r>
        <w:t xml:space="preserve">质量由开发集节点评分估计。学习式实例采用冻结的问题编码 e(x)、类型独热编码和问题长度特征：</w:t>
      </w:r>
    </w:p>
    <w:p>
      <w:pPr>
        <w:pStyle w:val="BodyText"/>
      </w:pPr>
      <m:oMathPara>
        <m:oMathParaPr>
          <m:jc m:val="center"/>
        </m:oMathParaPr>
        <m:oMath>
          <m:sSub>
            <m:e>
              <m:r>
                <m:t>ϕ</m:t>
              </m:r>
            </m:e>
            <m:sub>
              <m:r>
                <m:t>i</m:t>
              </m:r>
            </m:sub>
          </m:sSub>
          <m:r>
            <m:t>=</m:t>
          </m:r>
          <m:r>
            <m:t>[</m:t>
          </m:r>
          <m:r>
            <m:t>e</m:t>
          </m:r>
          <m:r>
            <m:t>(</m:t>
          </m:r>
          <m:r>
            <m:t>x</m:t>
          </m:r>
          <m:r>
            <m:t>)</m:t>
          </m:r>
          <m:r>
            <m:t>;</m:t>
          </m:r>
          <m:r>
            <m:rPr>
              <m:nor/>
              <m:sty m:val="p"/>
            </m:rPr>
            <m:t>onehot</m:t>
          </m:r>
          <m:r>
            <m:t>(</m:t>
          </m:r>
          <m:sSub>
            <m:e>
              <m:r>
                <m:t>τ</m:t>
              </m:r>
            </m:e>
            <m:sub>
              <m:r>
                <m:t>i</m:t>
              </m:r>
            </m:sub>
          </m:sSub>
          <m:r>
            <m:t>)</m:t>
          </m:r>
          <m:r>
            <m:t>;</m:t>
          </m:r>
          <m:r>
            <m:rPr>
              <m:nor/>
              <m:sty m:val="p"/>
            </m:rPr>
            <m:t>log</m:t>
          </m:r>
          <m:r>
            <m:t>(</m:t>
          </m:r>
          <m:r>
            <m:t>1</m:t>
          </m:r>
          <m:r>
            <m:t>+</m:t>
          </m:r>
          <m:r>
            <m:t>|</m:t>
          </m:r>
          <m:r>
            <m:t>x</m:t>
          </m:r>
          <m:r>
            <m:t>|</m:t>
          </m:r>
          <m:r>
            <m:t>)</m:t>
          </m:r>
          <m:r>
            <m:t>]</m:t>
          </m:r>
          <m:r>
            <m:t>,</m:t>
          </m:r>
          <m:r>
            <m:t>  </m:t>
          </m:r>
          <m:acc>
            <m:accPr>
              <m:chr m:val="̂"/>
            </m:accPr>
            <m:e>
              <m:r>
                <m:t>Q</m:t>
              </m:r>
            </m:e>
          </m:acc>
          <m:r>
            <m:t>(</m:t>
          </m:r>
          <m:r>
            <m:t>i</m:t>
          </m:r>
          <m:r>
            <m:t>,</m:t>
          </m:r>
          <m:r>
            <m:t>m</m:t>
          </m:r>
          <m:r>
            <m:t>)</m:t>
          </m:r>
          <m:r>
            <m:t>=</m:t>
          </m:r>
          <m:sSubSup>
            <m:e>
              <m:r>
                <m:t>w</m:t>
              </m:r>
            </m:e>
            <m:sub>
              <m:r>
                <m:t>m</m:t>
              </m:r>
            </m:sub>
            <m:sup>
              <m:r>
                <m:t>⊤</m:t>
              </m:r>
            </m:sup>
          </m:sSubSup>
          <m:sSub>
            <m:e>
              <m:r>
                <m:t>ϕ</m:t>
              </m:r>
            </m:e>
            <m:sub>
              <m:r>
                <m:t>i</m:t>
              </m:r>
            </m:sub>
          </m:sSub>
          <m:r>
            <m:t>+</m:t>
          </m:r>
          <m:sSub>
            <m:e>
              <m:r>
                <m:t>b</m:t>
              </m:r>
            </m:e>
            <m:sub>
              <m:r>
                <m:t>m</m:t>
              </m:r>
            </m:sub>
          </m:sSub>
          <m:r>
            <m:t>.</m:t>
          </m:r>
        </m:oMath>
      </m:oMathPara>
    </w:p>
    <w:p>
      <w:pPr>
        <w:pStyle w:val="FirstParagraph"/>
      </w:pPr>
      <w:r>
        <w:t xml:space="preserve">各模型的 Ridge 回归头在开发数据拟合，正则系数固定为 1。类型先验实例直接使用开发数据中各类型的平均质量选择模型，作为不依赖问题表示学习的对照。现有成本与时延预测使用模型级开发均值，不将其描述为已经训练的状态条件化资源预测器。</w:t>
      </w:r>
    </w:p>
    <w:p>
      <w:pPr>
        <w:pStyle w:val="Heading3"/>
      </w:pPr>
      <w:bookmarkStart w:id="35" w:name="任务分解与初始依赖图"/>
      <w:r>
        <w:t xml:space="preserve">3.3 任务分解与初始依赖图</w:t>
      </w:r>
      <w:bookmarkEnd w:id="35"/>
    </w:p>
    <w:p>
      <w:pPr>
        <w:pStyle w:val="FirstParagraph"/>
      </w:pPr>
      <w:r>
        <w:t xml:space="preserve">图中节点定义为 vᵢ=(τᵢ,Iᵢ,Oᵢ,Pa(i),Kᵢ)，分别记录职责、输入约定、输出约定、直接前驱和约束。边表示数据依赖，只有前驱产生可用输出后节点才能执行。主要职责为抽取、推理、验证和汇总；自然出现的转换节点作为探索性类型保留。</w:t>
      </w:r>
    </w:p>
    <w:p>
      <w:pPr>
        <w:pStyle w:val="BodyText"/>
      </w:pPr>
      <w:r>
        <w:t xml:space="preserve">当前财务实例以领域模板构造抽取—推理—验证流程。抽取结果提供带索引的事实，推理生成引用事实的表达式，执行器求值，验证节点检查一致性。用于节点能力测量的条件化基准可以提供标准事实；真实传播实验则使用前驱实际输出。两类输入条件不能混合解释。</w:t>
      </w:r>
    </w:p>
    <w:p>
      <w:pPr>
        <w:pStyle w:val="BodyText"/>
      </w:pPr>
      <w:r>
        <w:t xml:space="preserve">分解本身是待检验的执行选择。更细粒度能够暴露错误位置，却可能增加调用次数，或丢失整题生成中可利用的上下文。本文不以节点数量作为分解质量，也不将目前模板实现写成通用自由文本规划器。</w:t>
      </w:r>
    </w:p>
    <w:p>
      <w:pPr>
        <w:pStyle w:val="Heading3"/>
      </w:pPr>
      <w:bookmarkStart w:id="36" w:name="节点级路由与静态分配"/>
      <w:r>
        <w:t xml:space="preserve">3.4 节点级路由与静态分配</w:t>
      </w:r>
      <w:bookmarkEnd w:id="36"/>
    </w:p>
    <w:p>
      <w:pPr>
        <w:pStyle w:val="FirstParagraph"/>
      </w:pPr>
      <w:r>
        <w:t xml:space="preserve">查询级路由 r_q:x→m 为整题选择模型；节点级路由 r_n:(x,τᵢ)→mᵢ 允许同一任务使用不同执行者。初始选择为</w:t>
      </w:r>
    </w:p>
    <w:p>
      <w:pPr>
        <w:pStyle w:val="BodyText"/>
      </w:pPr>
      <m:oMathPara>
        <m:oMathParaPr>
          <m:jc m:val="center"/>
        </m:oMathParaPr>
        <m:oMath>
          <m:sSubSup>
            <m:e>
              <m:r>
                <m:t>m</m:t>
              </m:r>
            </m:e>
            <m:sub>
              <m:r>
                <m:t>i</m:t>
              </m:r>
            </m:sub>
            <m:sup>
              <m:r>
                <m:t>*</m:t>
              </m:r>
            </m:sup>
          </m:sSubSup>
          <m:r>
            <m:t>=</m:t>
          </m:r>
          <m:r>
            <m:rPr>
              <m:nor/>
              <m:sty m:val="p"/>
            </m:rPr>
            <m:t>arg</m:t>
          </m:r>
          <m:limLow>
            <m:e>
              <m:r>
                <m:rPr>
                  <m:nor/>
                  <m:sty m:val="p"/>
                </m:rPr>
                <m:t>max</m:t>
              </m:r>
            </m:e>
            <m:lim>
              <m:r>
                <m:t>m</m:t>
              </m:r>
              <m:r>
                <m:t>∈</m:t>
              </m:r>
              <m:r>
                <m:t>M</m:t>
              </m:r>
            </m:lim>
          </m:limLow>
          <m:r>
            <m:t>{</m:t>
          </m:r>
          <m:r>
            <m:t>α</m:t>
          </m:r>
          <m:acc>
            <m:accPr>
              <m:chr m:val="̂"/>
            </m:accPr>
            <m:e>
              <m:r>
                <m:t>Q</m:t>
              </m:r>
            </m:e>
          </m:acc>
          <m:r>
            <m:t>(</m:t>
          </m:r>
          <m:r>
            <m:t>i</m:t>
          </m:r>
          <m:r>
            <m:t>,</m:t>
          </m:r>
          <m:r>
            <m:t>m</m:t>
          </m:r>
          <m:r>
            <m:t>)</m:t>
          </m:r>
          <m:r>
            <m:t>−</m:t>
          </m:r>
          <m:r>
            <m:t>β</m:t>
          </m:r>
          <m:acc>
            <m:accPr>
              <m:chr m:val="̂"/>
            </m:accPr>
            <m:e>
              <m:r>
                <m:t>C</m:t>
              </m:r>
            </m:e>
          </m:acc>
          <m:r>
            <m:t>(</m:t>
          </m:r>
          <m:r>
            <m:t>i</m:t>
          </m:r>
          <m:r>
            <m:t>,</m:t>
          </m:r>
          <m:r>
            <m:t>m</m:t>
          </m:r>
          <m:r>
            <m:t>)</m:t>
          </m:r>
          <m:r>
            <m:t>−</m:t>
          </m:r>
          <m:r>
            <m:t>γ</m:t>
          </m:r>
          <m:acc>
            <m:accPr>
              <m:chr m:val="̂"/>
            </m:accPr>
            <m:e>
              <m:r>
                <m:t>L</m:t>
              </m:r>
            </m:e>
          </m:acc>
          <m:r>
            <m:t>(</m:t>
          </m:r>
          <m:r>
            <m:t>i</m:t>
          </m:r>
          <m:r>
            <m:t>,</m:t>
          </m:r>
          <m:r>
            <m:t>m</m:t>
          </m:r>
          <m:r>
            <m:t>)</m:t>
          </m:r>
          <m:r>
            <m:t>}</m:t>
          </m:r>
          <m:r>
            <m:t>.</m:t>
          </m:r>
        </m:oMath>
      </m:oMathPara>
    </w:p>
    <w:p>
      <w:pPr>
        <w:pStyle w:val="FirstParagraph"/>
      </w:pPr>
      <w:r>
        <w:t xml:space="preserve">节点确认实验固定使用 U=Q̂−0.05C̄/1000−0.05L̄/10，其中成本以 tokens、时长以秒计。候选预测及最终分配均保留。确认集不参与重新训练或调参；后续评分器修订也不改变已经冻结的路由选择。</w:t>
      </w:r>
    </w:p>
    <w:p>
      <w:pPr>
        <w:pStyle w:val="BodyText"/>
      </w:pPr>
      <w:r>
        <w:t xml:space="preserve">静态执行在初始分配后保持后继计划不变。在最新静态—动态比较中，静态策略允许预定义局部回退；回退结果可以传播给后继，但后继执行模型仍按原计划。因此，静态不是</w:t>
      </w:r>
      <w:r>
        <w:t xml:space="preserve">“</w:t>
      </w:r>
      <w:r>
        <w:t xml:space="preserve">完全没有恢复</w:t>
      </w:r>
      <w:r>
        <w:t xml:space="preserve">”</w:t>
      </w:r>
      <w:r>
        <w:t xml:space="preserve">，动态优势也不能简单归因于多一次调用。</w:t>
      </w:r>
    </w:p>
    <w:p>
      <w:pPr>
        <w:pStyle w:val="Heading3"/>
      </w:pPr>
      <w:bookmarkStart w:id="37" w:name="反馈记忆"/>
      <w:r>
        <w:t xml:space="preserve">3.5 反馈记忆</w:t>
      </w:r>
      <w:bookmarkEnd w:id="37"/>
    </w:p>
    <w:p>
      <w:pPr>
        <w:pStyle w:val="FirstParagraph"/>
      </w:pPr>
      <w:r>
        <w:t xml:space="preserve">系统维护 Hₜ={(vⱼ,mⱼ,sⱼ,rⱼ)}，记录已执行节点、模型、状态及结果。记忆不包含未调用候选的当前质量标签。早期实例以类型、问题长度分桶与模型作为键，用成功次数 Sₖ 和观测次数 Nₖ 形成平滑统计 pₖ=(Sₖ+1)/(Nₖ+2)，并与冻结质量估计融合：</w:t>
      </w:r>
    </w:p>
    <w:p>
      <w:pPr>
        <w:pStyle w:val="BodyText"/>
      </w:pPr>
      <m:oMathPara>
        <m:oMathParaPr>
          <m:jc m:val="center"/>
        </m:oMathParaPr>
        <m:oMath>
          <m:sSub>
            <m:e>
              <m:acc>
                <m:accPr>
                  <m:chr m:val="̃"/>
                </m:accPr>
                <m:e>
                  <m:r>
                    <m:t>Q</m:t>
                  </m:r>
                </m:e>
              </m:acc>
            </m:e>
            <m:sub>
              <m:r>
                <m:t>t</m:t>
              </m:r>
            </m:sub>
          </m:sSub>
          <m:r>
            <m:t>(</m:t>
          </m:r>
          <m:r>
            <m:t>i</m:t>
          </m:r>
          <m:r>
            <m:t>,</m:t>
          </m:r>
          <m:r>
            <m:t>m</m:t>
          </m:r>
          <m:r>
            <m:t>)</m:t>
          </m:r>
          <m:r>
            <m:t>=</m:t>
          </m:r>
          <m:r>
            <m:t>(</m:t>
          </m:r>
          <m:r>
            <m:t>1</m:t>
          </m:r>
          <m:r>
            <m:t>−</m:t>
          </m:r>
          <m:r>
            <m:t>η</m:t>
          </m:r>
          <m:r>
            <m:t>)</m:t>
          </m:r>
          <m:acc>
            <m:accPr>
              <m:chr m:val="̂"/>
            </m:accPr>
            <m:e>
              <m:r>
                <m:t>Q</m:t>
              </m:r>
            </m:e>
          </m:acc>
          <m:r>
            <m:t>(</m:t>
          </m:r>
          <m:r>
            <m:t>i</m:t>
          </m:r>
          <m:r>
            <m:t>,</m:t>
          </m:r>
          <m:r>
            <m:t>m</m:t>
          </m:r>
          <m:r>
            <m:t>)</m:t>
          </m:r>
          <m:r>
            <m:t>+</m:t>
          </m:r>
          <m:r>
            <m:t>η</m:t>
          </m:r>
          <m:sSub>
            <m:e>
              <m:r>
                <m:t>p</m:t>
              </m:r>
            </m:e>
            <m:sub>
              <m:r>
                <m:t>k</m:t>
              </m:r>
              <m:r>
                <m:t>(</m:t>
              </m:r>
              <m:r>
                <m:t>i</m:t>
              </m:r>
              <m:r>
                <m:t>,</m:t>
              </m:r>
              <m:sSub>
                <m:e>
                  <m:r>
                    <m:t>s</m:t>
                  </m:r>
                </m:e>
                <m:sub>
                  <m:r>
                    <m:t>i</m:t>
                  </m:r>
                </m:sub>
              </m:sSub>
              <m:r>
                <m:t>,</m:t>
              </m:r>
              <m:r>
                <m:t>m</m:t>
              </m:r>
              <m:r>
                <m:t>)</m:t>
              </m:r>
            </m:sub>
          </m:sSub>
          <m:r>
            <m:t>.</m:t>
          </m:r>
        </m:oMath>
      </m:oMathPara>
    </w:p>
    <w:p>
      <w:pPr>
        <w:pStyle w:val="FirstParagraph"/>
      </w:pPr>
      <w:r>
        <w:t xml:space="preserve">初始选择与恢复状态使用不同记忆路径，既有实例分别采用 0.3 和 0.5 的融合系数。反馈第二类实例使用模型失败计数修正能力排序。这些都是固定低容量规则，不引入新的在线训练模块。</w:t>
      </w:r>
    </w:p>
    <w:p>
      <w:pPr>
        <w:pStyle w:val="BodyText"/>
      </w:pPr>
      <w:r>
        <w:t xml:space="preserve">记忆改善的是未来决策依据，不自动修改 DAG。反馈是否正确则是独立问题：离线评分生成的成功事件具有理想化条件，验证器判断只能作为有噪声观测。本文在实验中分别报告这些条件。</w:t>
      </w:r>
    </w:p>
    <w:p>
      <w:pPr>
        <w:pStyle w:val="Heading3"/>
      </w:pPr>
      <w:bookmarkStart w:id="38" w:name="动态依赖图调整"/>
      <w:r>
        <w:t xml:space="preserve">3.6 动态依赖图调整</w:t>
      </w:r>
      <w:bookmarkEnd w:id="38"/>
    </w:p>
    <w:p>
      <w:pPr>
        <w:pStyle w:val="Heading4"/>
      </w:pPr>
      <w:bookmarkStart w:id="39" w:name="反馈状态更新"/>
      <w:r>
        <w:t xml:space="preserve">3.6.1 反馈状态更新</w:t>
      </w:r>
      <w:bookmarkEnd w:id="39"/>
    </w:p>
    <w:p>
      <w:pPr>
        <w:pStyle w:val="FirstParagraph"/>
      </w:pPr>
      <w:r>
        <w:t xml:space="preserve">状态包括已执行节点、实际输出、失败事件、候选模型使用历史及剩余资源。某节点输出变化后，只评估依赖其结果的后继；不受影响的结果继续有效。动态执行定义为反馈条件化的后续调整，可以改变模型、恢复和验证安排，也可以在局部分解时改变结构，但不要求每次都改变拓扑。</w:t>
      </w:r>
    </w:p>
    <w:p>
      <w:pPr>
        <w:pStyle w:val="Heading4"/>
      </w:pPr>
      <w:bookmarkStart w:id="40" w:name="真实失败判定与信息边界"/>
      <w:r>
        <w:t xml:space="preserve">3.6.2 真实失败判定与信息边界</w:t>
      </w:r>
      <w:bookmarkEnd w:id="40"/>
    </w:p>
    <w:p>
      <w:pPr>
        <w:pStyle w:val="FirstParagraph"/>
      </w:pPr>
      <w:r>
        <w:t xml:space="preserve">本文区分运行时异常与离线真实失败。前者来自格式错误、执行器异常或验证器拒绝；后者指原最终答案未满足评价标准。两者并不等价。以正确性 Y₀ 表示恢复前最终任务状态，则真实失败集合为 S_fail={j:Y₀ⱼ=0}。恢复质量只在这一集合上统计。</w:t>
      </w:r>
    </w:p>
    <w:p>
      <w:pPr>
        <w:pStyle w:val="BodyText"/>
      </w:pPr>
      <w:r>
        <w:t xml:space="preserve">实现与评价还需分离 runtime snapshot 和 offline label payload。运行快照仅包含问题、材料、实际父节点输出、实际抽取事实及失败状态；答案、程序和 required operands 只供离线分类、证据召回与评分使用。找不到真实抽取输出的样本不能用标准事实补齐，应标为无效快照。标准事实条件下的历史实验单独标注。</w:t>
      </w:r>
    </w:p>
    <w:p>
      <w:pPr>
        <w:pStyle w:val="BodyText"/>
      </w:pPr>
      <w:r>
        <w:t xml:space="preserve">当前 48 任务动态试验通过标准答案比较触发推理回退并更新失败计数，因此是理想失败检测条件下的真实执行。该实现界限不改变调度规则的定义，但限制其部署性结论；本文不声称已经实现可靠的在线真实失败识别。</w:t>
      </w:r>
    </w:p>
    <w:p>
      <w:pPr>
        <w:pStyle w:val="Heading4"/>
      </w:pPr>
      <w:bookmarkStart w:id="41" w:name="节点级恢复"/>
      <w:r>
        <w:t xml:space="preserve">3.6.3 节点级恢复</w:t>
      </w:r>
      <w:bookmarkEnd w:id="41"/>
    </w:p>
    <w:p>
      <w:pPr>
        <w:pStyle w:val="FirstParagraph"/>
      </w:pPr>
      <w:r>
        <w:t xml:space="preserve">固定动作集包括同模型再次调用、切换模型、重新抽取证据和局部分解。各动作基于相同运行快照，新增 tokens 和服务时长分别累计。重新抽取不接收 required operands；证据召回变化由离线评价器计算。</w:t>
      </w:r>
    </w:p>
    <w:p>
      <w:pPr>
        <w:pStyle w:val="BodyText"/>
      </w:pPr>
      <w:r>
        <w:t xml:space="preserve">局部分解以子图替换当前职责，将事实语义对齐、关系表达和确定性计算分离。结构改变必须保留原接口需要的输出。接口语言允许的常数或运算符也必须统一，否则无法区分分解收益和执行器修复收益。本文保留这些恢复动作，但不根据失败标签预设最优动作，也不把相同提示的确定性重试视作必然有效。</w:t>
      </w:r>
    </w:p>
    <w:p>
      <w:pPr>
        <w:pStyle w:val="Heading4"/>
      </w:pPr>
      <w:bookmarkStart w:id="42" w:name="选择性后继重调度"/>
      <w:r>
        <w:t xml:space="preserve">3.6.4 选择性后继重调度</w:t>
      </w:r>
      <w:bookmarkEnd w:id="42"/>
    </w:p>
    <w:p>
      <w:pPr>
        <w:pStyle w:val="FirstParagraph"/>
      </w:pPr>
      <w:r>
        <w:t xml:space="preserve">第二版动态策略采用五项约束。其一，在尚无相反失败证据时保护已有回退选择，避免一次全局更新推翻原计划。其二，只有输出发生实际变化或节点失败影响依赖时才重新评估相关后继。其三，优先处理影响最终结果的关键节点；现有证据主要来自两节点链的最终推理节点，不包含通用关键路径优先级学习。其四，使用类型能力排序及历史失败计数修正候选分数：</w:t>
      </w:r>
    </w:p>
    <w:p>
      <w:pPr>
        <w:pStyle w:val="BodyText"/>
      </w:pPr>
      <m:oMathPara>
        <m:oMathParaPr>
          <m:jc m:val="center"/>
        </m:oMathParaPr>
        <m:oMath>
          <m:sSub>
            <m:e>
              <m:r>
                <m:t>S</m:t>
              </m:r>
            </m:e>
            <m:sub>
              <m:r>
                <m:t>t</m:t>
              </m:r>
            </m:sub>
          </m:sSub>
          <m:r>
            <m:t>(</m:t>
          </m:r>
          <m:r>
            <m:t>m</m:t>
          </m:r>
          <m:r>
            <m:t>∣</m:t>
          </m:r>
          <m:r>
            <m:t>τ</m:t>
          </m:r>
          <m:r>
            <m:t>)</m:t>
          </m:r>
          <m:r>
            <m:t>=</m:t>
          </m:r>
          <m:r>
            <m:rPr>
              <m:nor/>
              <m:sty m:val="p"/>
            </m:rPr>
            <m:t>rank</m:t>
          </m:r>
          <m:r>
            <m:t>(</m:t>
          </m:r>
          <m:r>
            <m:t>m</m:t>
          </m:r>
          <m:r>
            <m:t>∣</m:t>
          </m:r>
          <m:r>
            <m:t>τ</m:t>
          </m:r>
          <m:r>
            <m:t>)</m:t>
          </m:r>
          <m:r>
            <m:t>−</m:t>
          </m:r>
          <m:sSub>
            <m:e>
              <m:r>
                <m:t>λ</m:t>
              </m:r>
            </m:e>
            <m:sub>
              <m:r>
                <m:t>f</m:t>
              </m:r>
            </m:sub>
          </m:sSub>
          <m:sSub>
            <m:e>
              <m:r>
                <m:t>N</m:t>
              </m:r>
            </m:e>
            <m:sub>
              <m:r>
                <m:rPr>
                  <m:sty m:val="p"/>
                </m:rPr>
                <m:t>f</m:t>
              </m:r>
              <m:r>
                <m:rPr>
                  <m:sty m:val="p"/>
                </m:rPr>
                <m:t>a</m:t>
              </m:r>
              <m:r>
                <m:rPr>
                  <m:sty m:val="p"/>
                </m:rPr>
                <m:t>i</m:t>
              </m:r>
              <m:r>
                <m:rPr>
                  <m:sty m:val="p"/>
                </m:rPr>
                <m:t>l</m:t>
              </m:r>
              <m:r>
                <m:t>,</m:t>
              </m:r>
              <m:r>
                <m:t>t</m:t>
              </m:r>
            </m:sub>
          </m:sSub>
          <m:r>
            <m:t>(</m:t>
          </m:r>
          <m:r>
            <m:t>m</m:t>
          </m:r>
          <m:r>
            <m:t>,</m:t>
          </m:r>
          <m:r>
            <m:t>τ</m:t>
          </m:r>
          <m:r>
            <m:t>)</m:t>
          </m:r>
          <m:r>
            <m:t>.</m:t>
          </m:r>
        </m:oMath>
      </m:oMathPara>
    </w:p>
    <w:p>
      <w:pPr>
        <w:pStyle w:val="FirstParagraph"/>
      </w:pPr>
      <w:r>
        <w:t xml:space="preserve">替换需要满足预设差距，避免无充分依据的频繁切换。其五，后续恢复受预算约束。当前实例以固定排序、失败计数和差距 0.1 实现这些规则；</w:t>
      </w:r>
      <w:r>
        <w:t xml:space="preserve">“</w:t>
      </w:r>
      <w:r>
        <w:t xml:space="preserve">正证据保护</w:t>
      </w:r>
      <w:r>
        <w:t xml:space="preserve">”</w:t>
      </w:r>
      <w:r>
        <w:t xml:space="preserve">在实现上主要体现为保留尚未失败的既有候选，而非已校准的成功概率保证。</w:t>
      </w:r>
    </w:p>
    <w:p>
      <w:pPr>
        <w:pStyle w:val="BodyText"/>
      </w:pPr>
      <w:r>
        <w:t xml:space="preserve">受影响范围可写为 Aₜ∪Desc_G(Aₜ)。这一集合说明依赖边界，但目前小型链的实验证据不足以证明一般大图上的全局重调度效果。选择性策略是否更安全，应通过 Help/Harm 和最终质量检验，不能仅凭调用更少推断。</w:t>
      </w:r>
    </w:p>
    <w:p>
      <w:pPr>
        <w:pStyle w:val="Heading4"/>
      </w:pPr>
      <w:bookmarkStart w:id="43" w:name="预算感知升级与终止"/>
      <w:r>
        <w:t xml:space="preserve">3.6.5 预算感知升级与终止</w:t>
      </w:r>
      <w:bookmarkEnd w:id="43"/>
    </w:p>
    <w:p>
      <w:pPr>
        <w:pStyle w:val="FirstParagraph"/>
      </w:pPr>
      <w:r>
        <w:t xml:space="preserve">设初始 token 和时间预算为 B₀、T₀，已发生开销为 cⱼ、ℓⱼ，则</w:t>
      </w:r>
    </w:p>
    <w:p>
      <w:pPr>
        <w:pStyle w:val="BodyText"/>
      </w:pPr>
      <m:oMathPara>
        <m:oMathParaPr>
          <m:jc m:val="center"/>
        </m:oMathParaPr>
        <m:oMath>
          <m:sSub>
            <m:e>
              <m:r>
                <m:t>B</m:t>
              </m:r>
            </m:e>
            <m:sub>
              <m:r>
                <m:rPr>
                  <m:sty m:val="p"/>
                </m:rPr>
                <m:t>r</m:t>
              </m:r>
              <m:r>
                <m:rPr>
                  <m:sty m:val="p"/>
                </m:rPr>
                <m:t>e</m:t>
              </m:r>
              <m:r>
                <m:rPr>
                  <m:sty m:val="p"/>
                </m:rPr>
                <m:t>m</m:t>
              </m:r>
            </m:sub>
          </m:sSub>
          <m:r>
            <m:t>=</m:t>
          </m:r>
          <m:sSub>
            <m:e>
              <m:r>
                <m:t>B</m:t>
              </m:r>
            </m:e>
            <m:sub>
              <m:r>
                <m:t>0</m:t>
              </m:r>
            </m:sub>
          </m:sSub>
          <m:r>
            <m:t>−</m:t>
          </m:r>
          <m:nary>
            <m:naryPr>
              <m:chr m:val="∑"/>
              <m:limLoc m:val="undOvr"/>
              <m:subHide m:val="0"/>
              <m:supHide m:val="1"/>
            </m:naryPr>
            <m:sub>
              <m:r>
                <m:t>j</m:t>
              </m:r>
            </m:sub>
            <m:sup>
              <m:r>
                <m:t>​</m:t>
              </m:r>
            </m:sup>
            <m:e>
              <m:sSub>
                <m:e>
                  <m:r>
                    <m:t>c</m:t>
                  </m:r>
                </m:e>
                <m:sub>
                  <m:r>
                    <m:t>j</m:t>
                  </m:r>
                </m:sub>
              </m:sSub>
            </m:e>
          </m:nary>
          <m:r>
            <m:t>,</m:t>
          </m:r>
          <m:r>
            <m:t>  </m:t>
          </m:r>
          <m:sSub>
            <m:e>
              <m:r>
                <m:t>T</m:t>
              </m:r>
            </m:e>
            <m:sub>
              <m:r>
                <m:rPr>
                  <m:sty m:val="p"/>
                </m:rPr>
                <m:t>r</m:t>
              </m:r>
              <m:r>
                <m:rPr>
                  <m:sty m:val="p"/>
                </m:rPr>
                <m:t>e</m:t>
              </m:r>
              <m:r>
                <m:rPr>
                  <m:sty m:val="p"/>
                </m:rPr>
                <m:t>m</m:t>
              </m:r>
            </m:sub>
          </m:sSub>
          <m:r>
            <m:t>=</m:t>
          </m:r>
          <m:sSub>
            <m:e>
              <m:r>
                <m:t>T</m:t>
              </m:r>
            </m:e>
            <m:sub>
              <m:r>
                <m:t>0</m:t>
              </m:r>
            </m:sub>
          </m:sSub>
          <m:r>
            <m:t>−</m:t>
          </m:r>
          <m:nary>
            <m:naryPr>
              <m:chr m:val="∑"/>
              <m:limLoc m:val="undOvr"/>
              <m:subHide m:val="0"/>
              <m:supHide m:val="1"/>
            </m:naryPr>
            <m:sub>
              <m:r>
                <m:t>j</m:t>
              </m:r>
            </m:sub>
            <m:sup>
              <m:r>
                <m:t>​</m:t>
              </m:r>
            </m:sup>
            <m:e>
              <m:sSub>
                <m:e>
                  <m:r>
                    <m:t>ℓ</m:t>
                  </m:r>
                </m:e>
                <m:sub>
                  <m:r>
                    <m:t>j</m:t>
                  </m:r>
                </m:sub>
              </m:sSub>
            </m:e>
          </m:nary>
          <m:r>
            <m:t>.</m:t>
          </m:r>
        </m:oMath>
      </m:oMathPara>
    </w:p>
    <w:p>
      <w:pPr>
        <w:pStyle w:val="FirstParagraph"/>
      </w:pPr>
      <w:r>
        <w:t xml:space="preserve">恢复动作必须满足剩余预算中的可行性要求。不足以启动恢复时终止；低成本动作失败且仍有资源时允许升级到更昂贵动作。现有动态实现使用最小剩余 token 门控，不能据此宣称具有精确的调用前成本预测。</w:t>
      </w:r>
    </w:p>
    <w:p>
      <w:pPr>
        <w:pStyle w:val="BodyText"/>
      </w:pPr>
      <w:r>
        <w:t xml:space="preserve">预算响应面进一步用已记录动作的实际开销进行离线约束回放。它回答固定结果集合在不同剩余资源下的可达质量，而非验证部署时能够预知时延和成功。真实部署所需的开销预测误差处理未在本轮实验中得到完整证明。</w:t>
      </w:r>
    </w:p>
    <w:p>
      <w:pPr>
        <w:pStyle w:val="Heading3"/>
      </w:pPr>
      <w:bookmarkStart w:id="44" w:name="历史任务图复用"/>
      <w:r>
        <w:t xml:space="preserve">3.7 历史任务图复用</w:t>
      </w:r>
      <w:bookmarkEnd w:id="44"/>
    </w:p>
    <w:p>
      <w:pPr>
        <w:pStyle w:val="FirstParagraph"/>
      </w:pPr>
      <w:r>
        <w:t xml:space="preserve">图森林 F={G₁</w:t>
      </w:r>
      <w:r>
        <w:rPr>
          <w:vertAlign w:val="superscript"/>
        </w:rPr>
        <w:t xml:space="preserve">(ν₁),…,Gₖ</w:t>
      </w:r>
      <w:r>
        <w:t xml:space="preserve">(νₖ)} 保存历史 DAG 及其版本。节点记录输入、输出、模型、依赖、执行反馈与可用资源信息。新追问通过检索相关图、识别有效结果、修改输入并重算受影响部分完成。</w:t>
      </w:r>
    </w:p>
    <w:p>
      <w:pPr>
        <w:pStyle w:val="BodyText"/>
      </w:pPr>
      <w:r>
        <w:t xml:space="preserve">若直接变更节点集合为 ΔV，则失效候选为 ΔV∪Desc_G(ΔV)，其余节点仍需满足原输入和约束未变的条件才能复用。修改计算假设不等于修改源材料：前者可保留原始抽取，后者需要使相关抽取失效。版本保留使结果能够追溯到具体输入条件。</w:t>
      </w:r>
    </w:p>
    <w:p>
      <w:pPr>
        <w:pStyle w:val="BodyText"/>
      </w:pPr>
      <w:r>
        <w:t xml:space="preserve">当前原型使用显式任务标识和事实依赖，不宣称已经实现通用语义图检索。图剪枝属于尚未充分验证的设计范围，不作为本稿实证贡献。</w:t>
      </w:r>
    </w:p>
    <w:p>
      <w:pPr>
        <w:pStyle w:val="Heading3"/>
      </w:pPr>
      <w:bookmarkStart w:id="45" w:name="多目标决策"/>
      <w:r>
        <w:t xml:space="preserve">3.8 多目标决策</w:t>
      </w:r>
      <w:bookmarkEnd w:id="45"/>
    </w:p>
    <w:p>
      <w:pPr>
        <w:pStyle w:val="FirstParagraph"/>
      </w:pPr>
      <w:r>
        <w:t xml:space="preserve">对候选执行方案 p，评价向量为 z(p)=(Q_p,C_p,L_p)。质量最大化，成本与时延最小化。单目标约束形式为 min C_p，满足 Q_p≥Q_min；双目标保留质量—成本非支配方案；三目标同时加入时延。</w:t>
      </w:r>
    </w:p>
    <w:p>
      <w:pPr>
        <w:pStyle w:val="BodyText"/>
      </w:pPr>
      <w:r>
        <w:t xml:space="preserve">若 p_a 在三项指标上均不劣于 p_b，且至少一项严格更好，则 p_a 支配 p_b。有限候选的非支配集合用于呈现不同偏好下的选择，不声称全局最优。不同工作负载、条件化节点分数与最终任务成功率不能混成一个帕累托集合。事后最优选择只表示诊断上界，不与可部署策略共同争夺</w:t>
      </w:r>
      <w:r>
        <w:t xml:space="preserve">“</w:t>
      </w:r>
      <w:r>
        <w:t xml:space="preserve">最优方法</w:t>
      </w:r>
      <w:r>
        <w:t xml:space="preserve">”</w:t>
      </w:r>
      <w:r>
        <w:t xml:space="preserve">。</w:t>
      </w:r>
    </w:p>
    <w:p>
      <w:pPr>
        <w:pStyle w:val="BodyText"/>
      </w:pPr>
      <w:r>
        <w:rPr>
          <w:b/>
        </w:rPr>
        <w:t xml:space="preserve">待我确认项：</w:t>
      </w:r>
      <w:r>
        <w:t xml:space="preserve"> </w:t>
      </w:r>
      <w:r>
        <w:t xml:space="preserve">当前动态实现仍借助评价答案触发部分动作；关键节点优先仅在小型链上实例化；双预算响应面是离线分析。上述内容已在方法中限定，未补造新模块。</w:t>
      </w:r>
    </w:p>
    <w:p>
      <w:pPr>
        <w:pStyle w:val="Heading2"/>
      </w:pPr>
      <w:bookmarkStart w:id="46" w:name="实验设置"/>
      <w:r>
        <w:t xml:space="preserve">4 实验设置</w:t>
      </w:r>
      <w:bookmarkEnd w:id="46"/>
    </w:p>
    <w:p>
      <w:pPr>
        <w:pStyle w:val="Heading3"/>
      </w:pPr>
      <w:bookmarkStart w:id="47" w:name="数据与证据层级"/>
      <w:r>
        <w:t xml:space="preserve">4.1 数据与证据层级</w:t>
      </w:r>
      <w:bookmarkEnd w:id="47"/>
    </w:p>
    <w:p>
      <w:pPr>
        <w:pStyle w:val="FirstParagraph"/>
      </w:pPr>
      <w:r>
        <w:t xml:space="preserve">实验使用财务表格与文本问答数据 MultiHiertt[6] 和 TAT-QA[7]。数据子集对应不同研究问题，不汇总为一个总测试集，也不把重复使用的任务当成新增独立样本。</w:t>
      </w:r>
    </w:p>
    <w:p>
      <w:pPr>
        <w:pStyle w:val="BodyText"/>
        <w:keepNext/>
        <w:spacing w:before="160"/>
      </w:pPr>
      <w:r>
        <w:t xml:space="preserve">表 4-1 实验面板与证据层级</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实验部分</w:t>
            </w:r>
          </w:p>
        </w:tc>
        <w:tc>
          <w:tcPr>
            <w:tcW w:type="dxa" w:w="1701"/>
            <w:vAlign w:val="center"/>
            <w:shd w:fill="E8EDF2"/>
          </w:tcPr>
          <w:p>
            <w:pPr>
              <w:spacing w:after="60" w:before="60" w:line="240" w:lineRule="auto"/>
            </w:pPr>
            <w:r>
              <w:rPr>
                <w:rFonts w:eastAsia="Noto Sans CJK SC"/>
                <w:b/>
                <w:sz w:val="18"/>
              </w:rPr>
              <w:t>样本单位与数量</w:t>
            </w:r>
          </w:p>
        </w:tc>
        <w:tc>
          <w:tcPr>
            <w:tcW w:type="dxa" w:w="2665"/>
            <w:vAlign w:val="center"/>
            <w:shd w:fill="E8EDF2"/>
          </w:tcPr>
          <w:p>
            <w:pPr>
              <w:spacing w:after="60" w:before="60" w:line="240" w:lineRule="auto"/>
            </w:pPr>
            <w:r>
              <w:rPr>
                <w:rFonts w:eastAsia="Noto Sans CJK SC"/>
                <w:b/>
                <w:sz w:val="18"/>
              </w:rPr>
              <w:t>评价条件</w:t>
            </w:r>
          </w:p>
        </w:tc>
        <w:tc>
          <w:tcPr>
            <w:tcW w:type="dxa" w:w="2891"/>
            <w:vAlign w:val="center"/>
            <w:shd w:fill="E8EDF2"/>
          </w:tcPr>
          <w:p>
            <w:pPr>
              <w:spacing w:after="60" w:before="60" w:line="240" w:lineRule="auto"/>
            </w:pPr>
            <w:r>
              <w:rPr>
                <w:rFonts w:eastAsia="Noto Sans CJK SC"/>
                <w:b/>
                <w:sz w:val="18"/>
              </w:rPr>
              <w:t>主要用途</w:t>
            </w:r>
          </w:p>
        </w:tc>
      </w:tr>
      <w:tr>
        <w:trPr>
          <w:cantSplit/>
        </w:trPr>
        <w:tc>
          <w:tcPr>
            <w:tcW w:type="dxa" w:w="2268"/>
            <w:vAlign w:val="center"/>
          </w:tcPr>
          <w:p>
            <w:pPr>
              <w:spacing w:after="60" w:before="60" w:line="240" w:lineRule="auto"/>
            </w:pPr>
            <w:r>
              <w:rPr>
                <w:rFonts w:eastAsia="Noto Sans CJK SC"/>
                <w:b w:val="0"/>
                <w:sz w:val="18"/>
              </w:rPr>
              <w:t>节点路由开发</w:t>
            </w:r>
          </w:p>
        </w:tc>
        <w:tc>
          <w:tcPr>
            <w:tcW w:type="dxa" w:w="1701"/>
            <w:vAlign w:val="center"/>
          </w:tcPr>
          <w:p>
            <w:pPr>
              <w:spacing w:after="60" w:before="60" w:line="240" w:lineRule="auto"/>
            </w:pPr>
            <w:r>
              <w:rPr>
                <w:rFonts w:eastAsia="Noto Sans CJK SC"/>
                <w:b w:val="0"/>
                <w:sz w:val="18"/>
              </w:rPr>
              <w:t>201 任务、372 节点</w:t>
            </w:r>
          </w:p>
        </w:tc>
        <w:tc>
          <w:tcPr>
            <w:tcW w:type="dxa" w:w="2665"/>
            <w:vAlign w:val="center"/>
          </w:tcPr>
          <w:p>
            <w:pPr>
              <w:spacing w:after="60" w:before="60" w:line="240" w:lineRule="auto"/>
            </w:pPr>
            <w:r>
              <w:rPr>
                <w:rFonts w:eastAsia="Noto Sans CJK SC"/>
                <w:b w:val="0"/>
                <w:sz w:val="18"/>
              </w:rPr>
              <w:t>开发数据与任务分组交叉验证</w:t>
            </w:r>
          </w:p>
        </w:tc>
        <w:tc>
          <w:tcPr>
            <w:tcW w:type="dxa" w:w="2891"/>
            <w:vAlign w:val="center"/>
          </w:tcPr>
          <w:p>
            <w:pPr>
              <w:spacing w:after="60" w:before="60" w:line="240" w:lineRule="auto"/>
            </w:pPr>
            <w:r>
              <w:rPr>
                <w:rFonts w:eastAsia="Noto Sans CJK SC"/>
                <w:b w:val="0"/>
                <w:sz w:val="18"/>
              </w:rPr>
              <w:t>拟合画像、类型消融</w:t>
            </w:r>
          </w:p>
        </w:tc>
      </w:tr>
      <w:tr>
        <w:trPr>
          <w:cantSplit/>
        </w:trPr>
        <w:tc>
          <w:tcPr>
            <w:tcW w:type="dxa" w:w="2268"/>
            <w:vAlign w:val="center"/>
          </w:tcPr>
          <w:p>
            <w:pPr>
              <w:spacing w:after="60" w:before="60" w:line="240" w:lineRule="auto"/>
            </w:pPr>
            <w:r>
              <w:rPr>
                <w:rFonts w:eastAsia="Noto Sans CJK SC"/>
                <w:b w:val="0"/>
                <w:sz w:val="18"/>
              </w:rPr>
              <w:t>冻结节点确认</w:t>
            </w:r>
          </w:p>
        </w:tc>
        <w:tc>
          <w:tcPr>
            <w:tcW w:type="dxa" w:w="1701"/>
            <w:vAlign w:val="center"/>
          </w:tcPr>
          <w:p>
            <w:pPr>
              <w:spacing w:after="60" w:before="60" w:line="240" w:lineRule="auto"/>
            </w:pPr>
            <w:r>
              <w:rPr>
                <w:rFonts w:eastAsia="Noto Sans CJK SC"/>
                <w:b w:val="0"/>
                <w:sz w:val="18"/>
              </w:rPr>
              <w:t>100 任务、493 主要节点；另 4 个转换节点</w:t>
            </w:r>
          </w:p>
        </w:tc>
        <w:tc>
          <w:tcPr>
            <w:tcW w:type="dxa" w:w="2665"/>
            <w:vAlign w:val="center"/>
          </w:tcPr>
          <w:p>
            <w:pPr>
              <w:spacing w:after="60" w:before="60" w:line="240" w:lineRule="auto"/>
            </w:pPr>
            <w:r>
              <w:rPr>
                <w:rFonts w:eastAsia="Noto Sans CJK SC"/>
                <w:b w:val="0"/>
                <w:sz w:val="18"/>
              </w:rPr>
              <w:t>经使用记录审计的 MultiHiertt train 子集；条件化节点评价</w:t>
            </w:r>
          </w:p>
        </w:tc>
        <w:tc>
          <w:tcPr>
            <w:tcW w:type="dxa" w:w="2891"/>
            <w:vAlign w:val="center"/>
          </w:tcPr>
          <w:p>
            <w:pPr>
              <w:spacing w:after="60" w:before="60" w:line="240" w:lineRule="auto"/>
            </w:pPr>
            <w:r>
              <w:rPr>
                <w:rFonts w:eastAsia="Noto Sans CJK SC"/>
                <w:b w:val="0"/>
                <w:sz w:val="18"/>
              </w:rPr>
              <w:t>冻结选择的泛化</w:t>
            </w:r>
          </w:p>
        </w:tc>
      </w:tr>
      <w:tr>
        <w:trPr>
          <w:cantSplit/>
        </w:trPr>
        <w:tc>
          <w:tcPr>
            <w:tcW w:type="dxa" w:w="2268"/>
            <w:vAlign w:val="center"/>
          </w:tcPr>
          <w:p>
            <w:pPr>
              <w:spacing w:after="60" w:before="60" w:line="240" w:lineRule="auto"/>
            </w:pPr>
            <w:r>
              <w:rPr>
                <w:rFonts w:eastAsia="Noto Sans CJK SC"/>
                <w:b w:val="0"/>
                <w:sz w:val="18"/>
              </w:rPr>
              <w:t>跨域节点分析</w:t>
            </w:r>
          </w:p>
        </w:tc>
        <w:tc>
          <w:tcPr>
            <w:tcW w:type="dxa" w:w="1701"/>
            <w:vAlign w:val="center"/>
          </w:tcPr>
          <w:p>
            <w:pPr>
              <w:spacing w:after="60" w:before="60" w:line="240" w:lineRule="auto"/>
            </w:pPr>
            <w:r>
              <w:rPr>
                <w:rFonts w:eastAsia="Noto Sans CJK SC"/>
                <w:b w:val="0"/>
                <w:sz w:val="18"/>
              </w:rPr>
              <w:t>TAT-QA 40 任务、200 节点</w:t>
            </w:r>
          </w:p>
        </w:tc>
        <w:tc>
          <w:tcPr>
            <w:tcW w:type="dxa" w:w="2665"/>
            <w:vAlign w:val="center"/>
          </w:tcPr>
          <w:p>
            <w:pPr>
              <w:spacing w:after="60" w:before="60" w:line="240" w:lineRule="auto"/>
            </w:pPr>
            <w:r>
              <w:rPr>
                <w:rFonts w:eastAsia="Noto Sans CJK SC"/>
                <w:b w:val="0"/>
                <w:sz w:val="18"/>
              </w:rPr>
              <w:t>条件化节点面板</w:t>
            </w:r>
          </w:p>
        </w:tc>
        <w:tc>
          <w:tcPr>
            <w:tcW w:type="dxa" w:w="2891"/>
            <w:vAlign w:val="center"/>
          </w:tcPr>
          <w:p>
            <w:pPr>
              <w:spacing w:after="60" w:before="60" w:line="240" w:lineRule="auto"/>
            </w:pPr>
            <w:r>
              <w:rPr>
                <w:rFonts w:eastAsia="Noto Sans CJK SC"/>
                <w:b w:val="0"/>
                <w:sz w:val="18"/>
              </w:rPr>
              <w:t>类型先验与学习式方法比较</w:t>
            </w:r>
          </w:p>
        </w:tc>
      </w:tr>
      <w:tr>
        <w:trPr>
          <w:cantSplit/>
        </w:trPr>
        <w:tc>
          <w:tcPr>
            <w:tcW w:type="dxa" w:w="2268"/>
            <w:vAlign w:val="center"/>
          </w:tcPr>
          <w:p>
            <w:pPr>
              <w:spacing w:after="60" w:before="60" w:line="240" w:lineRule="auto"/>
            </w:pPr>
            <w:r>
              <w:rPr>
                <w:rFonts w:eastAsia="Noto Sans CJK SC"/>
                <w:b w:val="0"/>
                <w:sz w:val="18"/>
              </w:rPr>
              <w:t>静态—动态回放</w:t>
            </w:r>
          </w:p>
        </w:tc>
        <w:tc>
          <w:tcPr>
            <w:tcW w:type="dxa" w:w="1701"/>
            <w:vAlign w:val="center"/>
          </w:tcPr>
          <w:p>
            <w:pPr>
              <w:spacing w:after="60" w:before="60" w:line="240" w:lineRule="auto"/>
            </w:pPr>
            <w:r>
              <w:rPr>
                <w:rFonts w:eastAsia="Noto Sans CJK SC"/>
                <w:b w:val="0"/>
                <w:sz w:val="18"/>
              </w:rPr>
              <w:t>100 任务</w:t>
            </w:r>
          </w:p>
        </w:tc>
        <w:tc>
          <w:tcPr>
            <w:tcW w:type="dxa" w:w="2665"/>
            <w:vAlign w:val="center"/>
          </w:tcPr>
          <w:p>
            <w:pPr>
              <w:spacing w:after="60" w:before="60" w:line="240" w:lineRule="auto"/>
            </w:pPr>
            <w:r>
              <w:rPr>
                <w:rFonts w:eastAsia="Noto Sans CJK SC"/>
                <w:b w:val="0"/>
                <w:sz w:val="18"/>
              </w:rPr>
              <w:t>既有候选输出回放</w:t>
            </w:r>
          </w:p>
        </w:tc>
        <w:tc>
          <w:tcPr>
            <w:tcW w:type="dxa" w:w="2891"/>
            <w:vAlign w:val="center"/>
          </w:tcPr>
          <w:p>
            <w:pPr>
              <w:spacing w:after="60" w:before="60" w:line="240" w:lineRule="auto"/>
            </w:pPr>
            <w:r>
              <w:rPr>
                <w:rFonts w:eastAsia="Noto Sans CJK SC"/>
                <w:b w:val="0"/>
                <w:sz w:val="18"/>
              </w:rPr>
              <w:t>调度机制检查</w:t>
            </w:r>
          </w:p>
        </w:tc>
      </w:tr>
      <w:tr>
        <w:trPr>
          <w:cantSplit/>
        </w:trPr>
        <w:tc>
          <w:tcPr>
            <w:tcW w:type="dxa" w:w="2268"/>
            <w:vAlign w:val="center"/>
          </w:tcPr>
          <w:p>
            <w:pPr>
              <w:spacing w:after="60" w:before="60" w:line="240" w:lineRule="auto"/>
            </w:pPr>
            <w:r>
              <w:rPr>
                <w:rFonts w:eastAsia="Noto Sans CJK SC"/>
                <w:b w:val="0"/>
                <w:sz w:val="18"/>
              </w:rPr>
              <w:t>静态—动态真实调用</w:t>
            </w:r>
          </w:p>
        </w:tc>
        <w:tc>
          <w:tcPr>
            <w:tcW w:type="dxa" w:w="1701"/>
            <w:vAlign w:val="center"/>
          </w:tcPr>
          <w:p>
            <w:pPr>
              <w:spacing w:after="60" w:before="60" w:line="240" w:lineRule="auto"/>
            </w:pPr>
            <w:r>
              <w:rPr>
                <w:rFonts w:eastAsia="Noto Sans CJK SC"/>
                <w:b w:val="0"/>
                <w:sz w:val="18"/>
              </w:rPr>
              <w:t>48 任务</w:t>
            </w:r>
          </w:p>
        </w:tc>
        <w:tc>
          <w:tcPr>
            <w:tcW w:type="dxa" w:w="2665"/>
            <w:vAlign w:val="center"/>
          </w:tcPr>
          <w:p>
            <w:pPr>
              <w:spacing w:after="60" w:before="60" w:line="240" w:lineRule="auto"/>
            </w:pPr>
            <w:r>
              <w:rPr>
                <w:rFonts w:eastAsia="Noto Sans CJK SC"/>
                <w:b w:val="0"/>
                <w:sz w:val="18"/>
              </w:rPr>
              <w:t>已分析面板，真实输入传播、理想失败检测</w:t>
            </w:r>
          </w:p>
        </w:tc>
        <w:tc>
          <w:tcPr>
            <w:tcW w:type="dxa" w:w="2891"/>
            <w:vAlign w:val="center"/>
          </w:tcPr>
          <w:p>
            <w:pPr>
              <w:spacing w:after="60" w:before="60" w:line="240" w:lineRule="auto"/>
            </w:pPr>
            <w:r>
              <w:rPr>
                <w:rFonts w:eastAsia="Noto Sans CJK SC"/>
                <w:b w:val="0"/>
                <w:sz w:val="18"/>
              </w:rPr>
              <w:t>最新动态版本比较</w:t>
            </w:r>
          </w:p>
        </w:tc>
      </w:tr>
      <w:tr>
        <w:trPr>
          <w:cantSplit/>
        </w:trPr>
        <w:tc>
          <w:tcPr>
            <w:tcW w:type="dxa" w:w="2268"/>
            <w:vAlign w:val="center"/>
          </w:tcPr>
          <w:p>
            <w:pPr>
              <w:spacing w:after="60" w:before="60" w:line="240" w:lineRule="auto"/>
            </w:pPr>
            <w:r>
              <w:rPr>
                <w:rFonts w:eastAsia="Noto Sans CJK SC"/>
                <w:b w:val="0"/>
                <w:sz w:val="18"/>
              </w:rPr>
              <w:t>受控故障</w:t>
            </w:r>
          </w:p>
        </w:tc>
        <w:tc>
          <w:tcPr>
            <w:tcW w:type="dxa" w:w="1701"/>
            <w:vAlign w:val="center"/>
          </w:tcPr>
          <w:p>
            <w:pPr>
              <w:spacing w:after="60" w:before="60" w:line="240" w:lineRule="auto"/>
            </w:pPr>
            <w:r>
              <w:rPr>
                <w:rFonts w:eastAsia="Noto Sans CJK SC"/>
                <w:b w:val="0"/>
                <w:sz w:val="18"/>
              </w:rPr>
              <w:t>33 任务候选，形成 118 个配对条件</w:t>
            </w:r>
          </w:p>
        </w:tc>
        <w:tc>
          <w:tcPr>
            <w:tcW w:type="dxa" w:w="2665"/>
            <w:vAlign w:val="center"/>
          </w:tcPr>
          <w:p>
            <w:pPr>
              <w:spacing w:after="60" w:before="60" w:line="240" w:lineRule="auto"/>
            </w:pPr>
            <w:r>
              <w:rPr>
                <w:rFonts w:eastAsia="Noto Sans CJK SC"/>
                <w:b w:val="0"/>
                <w:sz w:val="18"/>
              </w:rPr>
              <w:t>开发层真实调用，含无故障对照</w:t>
            </w:r>
          </w:p>
        </w:tc>
        <w:tc>
          <w:tcPr>
            <w:tcW w:type="dxa" w:w="2891"/>
            <w:vAlign w:val="center"/>
          </w:tcPr>
          <w:p>
            <w:pPr>
              <w:spacing w:after="60" w:before="60" w:line="240" w:lineRule="auto"/>
            </w:pPr>
            <w:r>
              <w:rPr>
                <w:rFonts w:eastAsia="Noto Sans CJK SC"/>
                <w:b w:val="0"/>
                <w:sz w:val="18"/>
              </w:rPr>
              <w:t>错误传播机制</w:t>
            </w:r>
          </w:p>
        </w:tc>
      </w:tr>
      <w:tr>
        <w:trPr>
          <w:cantSplit/>
        </w:trPr>
        <w:tc>
          <w:tcPr>
            <w:tcW w:type="dxa" w:w="2268"/>
            <w:vAlign w:val="center"/>
          </w:tcPr>
          <w:p>
            <w:pPr>
              <w:spacing w:after="60" w:before="60" w:line="240" w:lineRule="auto"/>
            </w:pPr>
            <w:r>
              <w:rPr>
                <w:rFonts w:eastAsia="Noto Sans CJK SC"/>
                <w:b w:val="0"/>
                <w:sz w:val="18"/>
              </w:rPr>
              <w:t>恢复矩阵</w:t>
            </w:r>
          </w:p>
        </w:tc>
        <w:tc>
          <w:tcPr>
            <w:tcW w:type="dxa" w:w="1701"/>
            <w:vAlign w:val="center"/>
          </w:tcPr>
          <w:p>
            <w:pPr>
              <w:spacing w:after="60" w:before="60" w:line="240" w:lineRule="auto"/>
            </w:pPr>
            <w:r>
              <w:rPr>
                <w:rFonts w:eastAsia="Noto Sans CJK SC"/>
                <w:b w:val="0"/>
                <w:sz w:val="18"/>
              </w:rPr>
              <w:t>原 148 节点，审计后 116 节点、96 个任务</w:t>
            </w:r>
          </w:p>
        </w:tc>
        <w:tc>
          <w:tcPr>
            <w:tcW w:type="dxa" w:w="2665"/>
            <w:vAlign w:val="center"/>
          </w:tcPr>
          <w:p>
            <w:pPr>
              <w:spacing w:after="60" w:before="60" w:line="240" w:lineRule="auto"/>
            </w:pPr>
            <w:r>
              <w:rPr>
                <w:rFonts w:eastAsia="Noto Sans CJK SC"/>
                <w:b w:val="0"/>
                <w:sz w:val="18"/>
              </w:rPr>
              <w:t>固定快照动作调用及离线评分</w:t>
            </w:r>
          </w:p>
        </w:tc>
        <w:tc>
          <w:tcPr>
            <w:tcW w:type="dxa" w:w="2891"/>
            <w:vAlign w:val="center"/>
          </w:tcPr>
          <w:p>
            <w:pPr>
              <w:spacing w:after="60" w:before="60" w:line="240" w:lineRule="auto"/>
            </w:pPr>
            <w:r>
              <w:rPr>
                <w:rFonts w:eastAsia="Noto Sans CJK SC"/>
                <w:b w:val="0"/>
                <w:sz w:val="18"/>
              </w:rPr>
              <w:t>真实失败恢复</w:t>
            </w:r>
          </w:p>
        </w:tc>
      </w:tr>
      <w:tr>
        <w:trPr>
          <w:cantSplit/>
        </w:trPr>
        <w:tc>
          <w:tcPr>
            <w:tcW w:type="dxa" w:w="2268"/>
            <w:vAlign w:val="center"/>
          </w:tcPr>
          <w:p>
            <w:pPr>
              <w:spacing w:after="60" w:before="60" w:line="240" w:lineRule="auto"/>
            </w:pPr>
            <w:r>
              <w:rPr>
                <w:rFonts w:eastAsia="Noto Sans CJK SC"/>
                <w:b w:val="0"/>
                <w:sz w:val="18"/>
              </w:rPr>
              <w:t>历史图复用</w:t>
            </w:r>
          </w:p>
        </w:tc>
        <w:tc>
          <w:tcPr>
            <w:tcW w:type="dxa" w:w="1701"/>
            <w:vAlign w:val="center"/>
          </w:tcPr>
          <w:p>
            <w:pPr>
              <w:spacing w:after="60" w:before="60" w:line="240" w:lineRule="auto"/>
            </w:pPr>
            <w:r>
              <w:rPr>
                <w:rFonts w:eastAsia="Noto Sans CJK SC"/>
                <w:b w:val="0"/>
                <w:sz w:val="18"/>
              </w:rPr>
              <w:t>20 个修改型追问</w:t>
            </w:r>
          </w:p>
        </w:tc>
        <w:tc>
          <w:tcPr>
            <w:tcW w:type="dxa" w:w="2665"/>
            <w:vAlign w:val="center"/>
          </w:tcPr>
          <w:p>
            <w:pPr>
              <w:spacing w:after="60" w:before="60" w:line="240" w:lineRule="auto"/>
            </w:pPr>
            <w:r>
              <w:rPr>
                <w:rFonts w:eastAsia="Noto Sans CJK SC"/>
                <w:b w:val="0"/>
                <w:sz w:val="18"/>
              </w:rPr>
              <w:t>历史输出复用与新调用</w:t>
            </w:r>
          </w:p>
        </w:tc>
        <w:tc>
          <w:tcPr>
            <w:tcW w:type="dxa" w:w="2891"/>
            <w:vAlign w:val="center"/>
          </w:tcPr>
          <w:p>
            <w:pPr>
              <w:spacing w:after="60" w:before="60" w:line="240" w:lineRule="auto"/>
            </w:pPr>
            <w:r>
              <w:rPr>
                <w:rFonts w:eastAsia="Noto Sans CJK SC"/>
                <w:b w:val="0"/>
                <w:sz w:val="18"/>
              </w:rPr>
              <w:t>多轮资源收益</w:t>
            </w:r>
          </w:p>
        </w:tc>
      </w:tr>
    </w:tbl>
    <w:p>
      <w:pPr>
        <w:pStyle w:val="BodyText"/>
      </w:pPr>
      <w:r>
        <w:t xml:space="preserve">节点确认集来自有标签 train split；官方 test 缺少本实验需要的答案和程序，因此未作为有监督确认集。使用记录审计仅覆盖当前工作区，不能证明预训练数据无交集。48 任务动态面板此前已被分析，不称为未经触碰的独立测试集。</w:t>
      </w:r>
    </w:p>
    <w:p>
      <w:pPr>
        <w:pStyle w:val="Heading3"/>
      </w:pPr>
      <w:bookmarkStart w:id="48" w:name="模型池与表示"/>
      <w:r>
        <w:t xml:space="preserve">4.2 模型池与表示</w:t>
      </w:r>
      <w:bookmarkEnd w:id="48"/>
    </w:p>
    <w:p>
      <w:pPr>
        <w:pStyle w:val="FirstParagraph"/>
      </w:pPr>
      <w:r>
        <w:t xml:space="preserve">路由池固定为 medium：Qwen2.5-7B-Instruct，large：Qwen2.5-14B-Instruct-GPTQ-Int8，coder：Qwen2.5-Coder-7B-Instruct。R1 只出现在早期旁路诊断，不进入主路由池。问题表示来自冻结 GTE-Qwen2-7B-instruct；各质量头、类型定义和静态效用在确认前封存。</w:t>
      </w:r>
    </w:p>
    <w:p>
      <w:pPr>
        <w:pStyle w:val="BodyText"/>
      </w:pPr>
      <w:r>
        <w:t xml:space="preserve">模型规模和量化方式不同，tokens 因而只表示调用量代理，不能等同于真实货币费用或 GPU 能耗。资源比较以相同实验环境内的记录为准。</w:t>
      </w:r>
    </w:p>
    <w:p>
      <w:pPr>
        <w:pStyle w:val="Heading3"/>
      </w:pPr>
      <w:bookmarkStart w:id="49" w:name="对照方法"/>
      <w:r>
        <w:t xml:space="preserve">4.3 对照方法</w:t>
      </w:r>
      <w:bookmarkEnd w:id="49"/>
    </w:p>
    <w:p>
      <w:pPr>
        <w:pStyle w:val="FirstParagraph"/>
      </w:pPr>
      <w:r>
        <w:t xml:space="preserve">路由对照包括全局最佳固定模型、Always Large、查询路由、类型先验、冻结节点路由和节点事后最优选择。类型先验依据开发类型均值选择；节点 Oracle 使用当前评价标签逐节点取最大值，仅作为上界。早期 Static Capability 为全局画像策略，与后期类型先验定义不同，本稿不混用名称。</w:t>
      </w:r>
    </w:p>
    <w:p>
      <w:pPr>
        <w:pStyle w:val="BodyText"/>
      </w:pPr>
      <w:r>
        <w:t xml:space="preserve">执行对照包括允许局部回退的静态计划、第一版动态策略和选择性动态第二版。恢复部分固定比较四种动作及其顺序组合；局部子图重规划单独作为已完成的负结果分析。图复用与单轮执行分别评价，不将复用成功率计入单轮答案正确率。</w:t>
      </w:r>
    </w:p>
    <w:p>
      <w:pPr>
        <w:pStyle w:val="Heading3"/>
      </w:pPr>
      <w:bookmarkStart w:id="50" w:name="指标与统计"/>
      <w:r>
        <w:t xml:space="preserve">4.4 指标与统计</w:t>
      </w:r>
      <w:bookmarkEnd w:id="50"/>
    </w:p>
    <w:p>
      <w:pPr>
        <w:pStyle w:val="FirstParagraph"/>
      </w:pPr>
      <w:r>
        <w:t xml:space="preserve">节点质量 Q 为节点对应评分均值，任务成功率为最终答案正确比例。Help 计数静态错而动态对，Harm 计数静态对而动态错。真实失败恢复率定义为</w:t>
      </w:r>
    </w:p>
    <w:p>
      <w:pPr>
        <w:pStyle w:val="BodyText"/>
      </w:pPr>
      <m:oMathPara>
        <m:oMathParaPr>
          <m:jc m:val="center"/>
        </m:oMathParaPr>
        <m:oMath>
          <m:r>
            <m:t>R</m:t>
          </m:r>
          <m:r>
            <m:t>=</m:t>
          </m:r>
          <m:f>
            <m:fPr>
              <m:type m:val="bar"/>
            </m:fPr>
            <m:num>
              <m:nary>
                <m:naryPr>
                  <m:chr m:val="∑"/>
                  <m:limLoc m:val="undOvr"/>
                  <m:subHide m:val="0"/>
                  <m:supHide m:val="1"/>
                </m:naryPr>
                <m:sub>
                  <m:r>
                    <m:t>j</m:t>
                  </m:r>
                </m:sub>
                <m:sup>
                  <m:r>
                    <m:t>​</m:t>
                  </m:r>
                </m:sup>
                <m:e>
                  <m:r>
                    <m:rPr>
                      <m:sty m:val="b"/>
                    </m:rPr>
                    <m:t>1</m:t>
                  </m:r>
                </m:e>
              </m:nary>
              <m:r>
                <m:t>(</m:t>
              </m:r>
              <m:sSubSup>
                <m:e>
                  <m:r>
                    <m:t>Y</m:t>
                  </m:r>
                </m:e>
                <m:sub>
                  <m:r>
                    <m:t>j</m:t>
                  </m:r>
                </m:sub>
                <m:sup>
                  <m:r>
                    <m:rPr>
                      <m:sty m:val="p"/>
                    </m:rPr>
                    <m:t>s</m:t>
                  </m:r>
                  <m:r>
                    <m:rPr>
                      <m:sty m:val="p"/>
                    </m:rPr>
                    <m:t>t</m:t>
                  </m:r>
                  <m:r>
                    <m:rPr>
                      <m:sty m:val="p"/>
                    </m:rPr>
                    <m:t>a</m:t>
                  </m:r>
                  <m:r>
                    <m:rPr>
                      <m:sty m:val="p"/>
                    </m:rPr>
                    <m:t>t</m:t>
                  </m:r>
                  <m:r>
                    <m:rPr>
                      <m:sty m:val="p"/>
                    </m:rPr>
                    <m:t>i</m:t>
                  </m:r>
                  <m:r>
                    <m:rPr>
                      <m:sty m:val="p"/>
                    </m:rPr>
                    <m:t>c</m:t>
                  </m:r>
                </m:sup>
              </m:sSubSup>
              <m:r>
                <m:t>=</m:t>
              </m:r>
              <m:r>
                <m:t>0</m:t>
              </m:r>
              <m:r>
                <m:t>,</m:t>
              </m:r>
              <m:sSubSup>
                <m:e>
                  <m:r>
                    <m:t>Y</m:t>
                  </m:r>
                </m:e>
                <m:sub>
                  <m:r>
                    <m:t>j</m:t>
                  </m:r>
                </m:sub>
                <m:sup>
                  <m:r>
                    <m:rPr>
                      <m:sty m:val="p"/>
                    </m:rPr>
                    <m:t>n</m:t>
                  </m:r>
                  <m:r>
                    <m:rPr>
                      <m:sty m:val="p"/>
                    </m:rPr>
                    <m:t>e</m:t>
                  </m:r>
                  <m:r>
                    <m:rPr>
                      <m:sty m:val="p"/>
                    </m:rPr>
                    <m:t>w</m:t>
                  </m:r>
                </m:sup>
              </m:sSubSup>
              <m:r>
                <m:t>=</m:t>
              </m:r>
              <m:r>
                <m:t>1</m:t>
              </m:r>
              <m:r>
                <m:t>)</m:t>
              </m:r>
            </m:num>
            <m:den>
              <m:nary>
                <m:naryPr>
                  <m:chr m:val="∑"/>
                  <m:limLoc m:val="undOvr"/>
                  <m:subHide m:val="0"/>
                  <m:supHide m:val="1"/>
                </m:naryPr>
                <m:sub>
                  <m:r>
                    <m:t>j</m:t>
                  </m:r>
                </m:sub>
                <m:sup>
                  <m:r>
                    <m:t>​</m:t>
                  </m:r>
                </m:sup>
                <m:e>
                  <m:r>
                    <m:rPr>
                      <m:sty m:val="b"/>
                    </m:rPr>
                    <m:t>1</m:t>
                  </m:r>
                </m:e>
              </m:nary>
              <m:r>
                <m:t>(</m:t>
              </m:r>
              <m:sSubSup>
                <m:e>
                  <m:r>
                    <m:t>Y</m:t>
                  </m:r>
                </m:e>
                <m:sub>
                  <m:r>
                    <m:t>j</m:t>
                  </m:r>
                </m:sub>
                <m:sup>
                  <m:r>
                    <m:rPr>
                      <m:sty m:val="p"/>
                    </m:rPr>
                    <m:t>s</m:t>
                  </m:r>
                  <m:r>
                    <m:rPr>
                      <m:sty m:val="p"/>
                    </m:rPr>
                    <m:t>t</m:t>
                  </m:r>
                  <m:r>
                    <m:rPr>
                      <m:sty m:val="p"/>
                    </m:rPr>
                    <m:t>a</m:t>
                  </m:r>
                  <m:r>
                    <m:rPr>
                      <m:sty m:val="p"/>
                    </m:rPr>
                    <m:t>t</m:t>
                  </m:r>
                  <m:r>
                    <m:rPr>
                      <m:sty m:val="p"/>
                    </m:rPr>
                    <m:t>i</m:t>
                  </m:r>
                  <m:r>
                    <m:rPr>
                      <m:sty m:val="p"/>
                    </m:rPr>
                    <m:t>c</m:t>
                  </m:r>
                </m:sup>
              </m:sSubSup>
              <m:r>
                <m:t>=</m:t>
              </m:r>
              <m:r>
                <m:t>0</m:t>
              </m:r>
              <m:r>
                <m:t>)</m:t>
              </m:r>
            </m:den>
          </m:f>
          <m:r>
            <m:t>.</m:t>
          </m:r>
        </m:oMath>
      </m:oMathPara>
    </w:p>
    <w:p>
      <w:pPr>
        <w:pStyle w:val="FirstParagraph"/>
      </w:pPr>
      <w:r>
        <w:t xml:space="preserve">净增益除以静态失败数等于 (Help−Harm)/N_fail，与上述恢复率不是同一指标。成本记录输入与输出 tokens；时延默认指请求服务时长之和。含模型装载、排队和调度的端到端墙钟时间必须另行标识。</w:t>
      </w:r>
    </w:p>
    <w:p>
      <w:pPr>
        <w:pStyle w:val="BodyText"/>
      </w:pPr>
      <w:r>
        <w:t xml:space="preserve">证据召回 ER 为运行事实覆盖的 required operands 比例，仅离线计算。复用率为可复用逻辑节点占需处理节点的比例；调用减少率与 token 减少率使用明确基线。预算遗憾为同一预算下动作 Oracle 覆盖与策略恢复质量之差，不与整体任务准确率混用。</w:t>
      </w:r>
    </w:p>
    <w:p>
      <w:pPr>
        <w:pStyle w:val="BodyText"/>
      </w:pPr>
      <w:r>
        <w:t xml:space="preserve">统计按任务配对或聚类重采样，避免同任务多节点被视为独立。新版矩阵的论文复核使用固定种子 20260920、10,000 次任务聚类 bootstrap，按节点加权均值重新计算差异区间；原文件统计保留原协议。本文将复核统计标为事后离线汇总，不冒充原预注册分析。区间包含零的比较均不宣称显著。</w:t>
      </w:r>
    </w:p>
    <w:p>
      <w:pPr>
        <w:pStyle w:val="Heading3"/>
      </w:pPr>
      <w:bookmarkStart w:id="51" w:name="实现与版本控制"/>
      <w:r>
        <w:t xml:space="preserve">4.5 实现与版本控制</w:t>
      </w:r>
      <w:bookmarkEnd w:id="51"/>
    </w:p>
    <w:p>
      <w:pPr>
        <w:pStyle w:val="FirstParagraph"/>
      </w:pPr>
      <w:r>
        <w:t xml:space="preserve">主采集使用本地模型服务，基础设置包括 temperature=0、top_p=1、最大输出 512 tokens。节点确认按共享请求去重，每模型 404 次、三模型共 1,212 次；逻辑节点数不等于请求数。后期动态执行按模型加载并复用已存响应，其服务时间不能解释为完整在线用户等待时间。各子实验保留自身冻结协议，不强行套用统一并发或统一时延口径。</w:t>
      </w:r>
    </w:p>
    <w:p>
      <w:pPr>
        <w:pStyle w:val="BodyText"/>
      </w:pPr>
      <w:r>
        <w:t xml:space="preserve">评分采用扩展执行器矩阵 SCORED_MATRIX_EXEC.npz，保留已经冻结的模型选择。旧 RESULTS.json 的部分质量数值未同步更新，不能直接拼入新表。新版 Oracle 必须在新版 Q 矩阵上重新最大化，得到 0.6065；沿用旧 Oracle 选择再重评分得到的 0.6045 不是新版严格上界。[E01]</w:t>
      </w:r>
    </w:p>
    <w:p>
      <w:pPr>
        <w:pStyle w:val="BodyText"/>
      </w:pPr>
      <w:r>
        <w:rPr>
          <w:b/>
        </w:rPr>
        <w:t xml:space="preserve">待我确认项：</w:t>
      </w:r>
      <w:r>
        <w:t xml:space="preserve"> </w:t>
      </w:r>
      <w:r>
        <w:t xml:space="preserve">投稿复现信息仍需补齐各批次硬件与服务软件版本；当前文件不足以支持统一硬件声明。复杂度分层表缺少逐任务标识和独立生成脚本，按探索性记录处理。</w:t>
      </w:r>
    </w:p>
    <w:p>
      <w:pPr>
        <w:pStyle w:val="Heading2"/>
      </w:pPr>
      <w:bookmarkStart w:id="52" w:name="实验结果与分析"/>
      <w:r>
        <w:t xml:space="preserve">5 实验结果与分析</w:t>
      </w:r>
      <w:bookmarkEnd w:id="52"/>
    </w:p>
    <w:p>
      <w:pPr>
        <w:pStyle w:val="Heading3"/>
      </w:pPr>
      <w:bookmarkStart w:id="53" w:name="能力异质性与路由机会"/>
      <w:r>
        <w:t xml:space="preserve">5.1 能力异质性与路由机会</w:t>
      </w:r>
      <w:bookmarkEnd w:id="53"/>
    </w:p>
    <w:p>
      <w:pPr>
        <w:pStyle w:val="FirstParagraph"/>
      </w:pPr>
      <w:r>
        <w:t xml:space="preserve">本实验检验同一模型是否在各类节点上始终占优。使用冻结确认面板中的 493 个主要节点，对三模型实际输出按新版统一执行器评分，比较类型内模型质量与逐节点 Oracle。[E01]</w:t>
      </w:r>
    </w:p>
    <w:p>
      <w:pPr>
        <w:pStyle w:val="BodyText"/>
        <w:keepNext/>
        <w:spacing w:before="160"/>
      </w:pPr>
      <w:r>
        <w:t xml:space="preserve">表 5-1 节点类型内的模型能力差异</w:t>
      </w:r>
    </w:p>
    <w:tbl>
      <w:tblPr>
        <w:tblStyle w:val="TableGrid"/>
        <w:tblW w:type="dxa" w:w="9524"/>
        <w:tblLayout w:type="fixed"/>
        <w:tblLook w:firstColumn="1" w:firstRow="1" w:lastColumn="0" w:lastRow="0" w:noHBand="0" w:noVBand="1" w:val="04A0"/>
      </w:tblPr>
      <w:tblGrid>
        <w:gridCol w:w="1868"/>
        <w:gridCol w:w="903"/>
        <w:gridCol w:w="1027"/>
        <w:gridCol w:w="1027"/>
        <w:gridCol w:w="1058"/>
        <w:gridCol w:w="1868"/>
        <w:gridCol w:w="1774"/>
      </w:tblGrid>
      <w:tr>
        <w:trPr>
          <w:cantSplit/>
          <w:tblHeader/>
        </w:trPr>
        <w:tc>
          <w:tcPr>
            <w:tcW w:type="dxa" w:w="1868"/>
            <w:vAlign w:val="center"/>
            <w:shd w:fill="E8EDF2"/>
          </w:tcPr>
          <w:p>
            <w:pPr>
              <w:spacing w:after="60" w:before="60" w:line="240" w:lineRule="auto"/>
            </w:pPr>
            <w:r>
              <w:rPr>
                <w:rFonts w:eastAsia="Noto Sans CJK SC"/>
                <w:b/>
                <w:sz w:val="16"/>
              </w:rPr>
              <w:t>节点类型</w:t>
            </w:r>
          </w:p>
        </w:tc>
        <w:tc>
          <w:tcPr>
            <w:tcW w:type="dxa" w:w="903"/>
            <w:vAlign w:val="center"/>
            <w:shd w:fill="E8EDF2"/>
          </w:tcPr>
          <w:p>
            <w:pPr>
              <w:spacing w:after="60" w:before="60" w:line="240" w:lineRule="auto"/>
            </w:pPr>
            <w:r>
              <w:rPr>
                <w:rFonts w:eastAsia="Noto Sans CJK SC"/>
                <w:b/>
                <w:sz w:val="16"/>
              </w:rPr>
              <w:t>节点数</w:t>
            </w:r>
          </w:p>
        </w:tc>
        <w:tc>
          <w:tcPr>
            <w:tcW w:type="dxa" w:w="1027"/>
            <w:vAlign w:val="center"/>
            <w:shd w:fill="E8EDF2"/>
          </w:tcPr>
          <w:p>
            <w:pPr>
              <w:spacing w:after="60" w:before="60" w:line="240" w:lineRule="auto"/>
            </w:pPr>
            <w:r>
              <w:rPr>
                <w:rFonts w:eastAsia="Noto Sans CJK SC"/>
                <w:b/>
                <w:sz w:val="16"/>
              </w:rPr>
              <w:t>medium</w:t>
            </w:r>
          </w:p>
        </w:tc>
        <w:tc>
          <w:tcPr>
            <w:tcW w:type="dxa" w:w="1027"/>
            <w:vAlign w:val="center"/>
            <w:shd w:fill="E8EDF2"/>
          </w:tcPr>
          <w:p>
            <w:pPr>
              <w:spacing w:after="60" w:before="60" w:line="240" w:lineRule="auto"/>
            </w:pPr>
            <w:r>
              <w:rPr>
                <w:rFonts w:eastAsia="Noto Sans CJK SC"/>
                <w:b/>
                <w:sz w:val="16"/>
              </w:rPr>
              <w:t>large</w:t>
            </w:r>
          </w:p>
        </w:tc>
        <w:tc>
          <w:tcPr>
            <w:tcW w:type="dxa" w:w="1058"/>
            <w:vAlign w:val="center"/>
            <w:shd w:fill="E8EDF2"/>
          </w:tcPr>
          <w:p>
            <w:pPr>
              <w:spacing w:after="60" w:before="60" w:line="240" w:lineRule="auto"/>
            </w:pPr>
            <w:r>
              <w:rPr>
                <w:rFonts w:eastAsia="Noto Sans CJK SC"/>
                <w:b/>
                <w:sz w:val="16"/>
              </w:rPr>
              <w:t>coder</w:t>
            </w:r>
          </w:p>
        </w:tc>
        <w:tc>
          <w:tcPr>
            <w:tcW w:type="dxa" w:w="1868"/>
            <w:vAlign w:val="center"/>
            <w:shd w:fill="E8EDF2"/>
          </w:tcPr>
          <w:p>
            <w:pPr>
              <w:spacing w:after="60" w:before="60" w:line="240" w:lineRule="auto"/>
            </w:pPr>
            <w:r>
              <w:rPr>
                <w:rFonts w:eastAsia="Noto Sans CJK SC"/>
                <w:b/>
                <w:sz w:val="16"/>
              </w:rPr>
              <w:t>节点 Oracle</w:t>
            </w:r>
          </w:p>
        </w:tc>
        <w:tc>
          <w:tcPr>
            <w:tcW w:type="dxa" w:w="1774"/>
            <w:vAlign w:val="center"/>
            <w:shd w:fill="E8EDF2"/>
          </w:tcPr>
          <w:p>
            <w:pPr>
              <w:spacing w:after="60" w:before="60" w:line="240" w:lineRule="auto"/>
            </w:pPr>
            <w:r>
              <w:rPr>
                <w:rFonts w:eastAsia="Noto Sans CJK SC"/>
                <w:b/>
                <w:sz w:val="16"/>
              </w:rPr>
              <w:t>相对类型最佳固定模型的差距</w:t>
            </w:r>
          </w:p>
        </w:tc>
      </w:tr>
      <w:tr>
        <w:trPr>
          <w:cantSplit/>
        </w:trPr>
        <w:tc>
          <w:tcPr>
            <w:tcW w:type="dxa" w:w="1868"/>
            <w:vAlign w:val="center"/>
          </w:tcPr>
          <w:p>
            <w:pPr>
              <w:spacing w:after="60" w:before="60" w:line="240" w:lineRule="auto"/>
            </w:pPr>
            <w:r>
              <w:rPr>
                <w:rFonts w:eastAsia="Noto Sans CJK SC"/>
                <w:b w:val="0"/>
                <w:sz w:val="16"/>
              </w:rPr>
              <w:t>抽取</w:t>
            </w:r>
          </w:p>
        </w:tc>
        <w:tc>
          <w:tcPr>
            <w:tcW w:type="dxa" w:w="903"/>
            <w:vAlign w:val="center"/>
          </w:tcPr>
          <w:p>
            <w:pPr>
              <w:spacing w:after="60" w:before="60" w:line="240" w:lineRule="auto"/>
            </w:pPr>
            <w:r>
              <w:rPr>
                <w:rFonts w:eastAsia="Noto Sans CJK SC"/>
                <w:b w:val="0"/>
                <w:sz w:val="16"/>
              </w:rPr>
              <w:t>193</w:t>
            </w:r>
          </w:p>
        </w:tc>
        <w:tc>
          <w:tcPr>
            <w:tcW w:type="dxa" w:w="1027"/>
            <w:vAlign w:val="center"/>
          </w:tcPr>
          <w:p>
            <w:pPr>
              <w:spacing w:after="60" w:before="60" w:line="240" w:lineRule="auto"/>
            </w:pPr>
            <w:r>
              <w:rPr>
                <w:rFonts w:eastAsia="Noto Sans CJK SC"/>
                <w:b w:val="0"/>
                <w:sz w:val="16"/>
              </w:rPr>
              <w:t>0.3731</w:t>
            </w:r>
          </w:p>
        </w:tc>
        <w:tc>
          <w:tcPr>
            <w:tcW w:type="dxa" w:w="1027"/>
            <w:vAlign w:val="center"/>
          </w:tcPr>
          <w:p>
            <w:pPr>
              <w:spacing w:after="60" w:before="60" w:line="240" w:lineRule="auto"/>
            </w:pPr>
            <w:r>
              <w:rPr>
                <w:rFonts w:eastAsia="Noto Sans CJK SC"/>
                <w:b w:val="0"/>
                <w:sz w:val="16"/>
              </w:rPr>
              <w:t>0.5959</w:t>
            </w:r>
          </w:p>
        </w:tc>
        <w:tc>
          <w:tcPr>
            <w:tcW w:type="dxa" w:w="1058"/>
            <w:vAlign w:val="center"/>
          </w:tcPr>
          <w:p>
            <w:pPr>
              <w:spacing w:after="60" w:before="60" w:line="240" w:lineRule="auto"/>
            </w:pPr>
            <w:r>
              <w:rPr>
                <w:rFonts w:eastAsia="Noto Sans CJK SC"/>
                <w:b w:val="0"/>
                <w:sz w:val="16"/>
              </w:rPr>
              <w:t>0.3782</w:t>
            </w:r>
          </w:p>
        </w:tc>
        <w:tc>
          <w:tcPr>
            <w:tcW w:type="dxa" w:w="1868"/>
            <w:vAlign w:val="center"/>
          </w:tcPr>
          <w:p>
            <w:pPr>
              <w:spacing w:after="60" w:before="60" w:line="240" w:lineRule="auto"/>
            </w:pPr>
            <w:r>
              <w:rPr>
                <w:rFonts w:eastAsia="Noto Sans CJK SC"/>
                <w:b w:val="0"/>
                <w:sz w:val="16"/>
              </w:rPr>
              <w:t>0.6943</w:t>
            </w:r>
          </w:p>
        </w:tc>
        <w:tc>
          <w:tcPr>
            <w:tcW w:type="dxa" w:w="1774"/>
            <w:vAlign w:val="center"/>
          </w:tcPr>
          <w:p>
            <w:pPr>
              <w:spacing w:after="60" w:before="60" w:line="240" w:lineRule="auto"/>
            </w:pPr>
            <w:r>
              <w:rPr>
                <w:rFonts w:eastAsia="Noto Sans CJK SC"/>
                <w:b w:val="0"/>
                <w:sz w:val="16"/>
              </w:rPr>
              <w:t>9.84 个百分点</w:t>
            </w:r>
          </w:p>
        </w:tc>
      </w:tr>
      <w:tr>
        <w:trPr>
          <w:cantSplit/>
        </w:trPr>
        <w:tc>
          <w:tcPr>
            <w:tcW w:type="dxa" w:w="1868"/>
            <w:vAlign w:val="center"/>
          </w:tcPr>
          <w:p>
            <w:pPr>
              <w:spacing w:after="60" w:before="60" w:line="240" w:lineRule="auto"/>
            </w:pPr>
            <w:r>
              <w:rPr>
                <w:rFonts w:eastAsia="Noto Sans CJK SC"/>
                <w:b w:val="0"/>
                <w:sz w:val="16"/>
              </w:rPr>
              <w:t>推理</w:t>
            </w:r>
          </w:p>
        </w:tc>
        <w:tc>
          <w:tcPr>
            <w:tcW w:type="dxa" w:w="903"/>
            <w:vAlign w:val="center"/>
          </w:tcPr>
          <w:p>
            <w:pPr>
              <w:spacing w:after="60" w:before="60" w:line="240" w:lineRule="auto"/>
            </w:pPr>
            <w:r>
              <w:rPr>
                <w:rFonts w:eastAsia="Noto Sans CJK SC"/>
                <w:b w:val="0"/>
                <w:sz w:val="16"/>
              </w:rPr>
              <w:t>100</w:t>
            </w:r>
          </w:p>
        </w:tc>
        <w:tc>
          <w:tcPr>
            <w:tcW w:type="dxa" w:w="1027"/>
            <w:vAlign w:val="center"/>
          </w:tcPr>
          <w:p>
            <w:pPr>
              <w:spacing w:after="60" w:before="60" w:line="240" w:lineRule="auto"/>
            </w:pPr>
            <w:r>
              <w:rPr>
                <w:rFonts w:eastAsia="Noto Sans CJK SC"/>
                <w:b w:val="0"/>
                <w:sz w:val="16"/>
              </w:rPr>
              <w:t>0.3100</w:t>
            </w:r>
          </w:p>
        </w:tc>
        <w:tc>
          <w:tcPr>
            <w:tcW w:type="dxa" w:w="1027"/>
            <w:vAlign w:val="center"/>
          </w:tcPr>
          <w:p>
            <w:pPr>
              <w:spacing w:after="60" w:before="60" w:line="240" w:lineRule="auto"/>
            </w:pPr>
            <w:r>
              <w:rPr>
                <w:rFonts w:eastAsia="Noto Sans CJK SC"/>
                <w:b w:val="0"/>
                <w:sz w:val="16"/>
              </w:rPr>
              <w:t>0.2500</w:t>
            </w:r>
          </w:p>
        </w:tc>
        <w:tc>
          <w:tcPr>
            <w:tcW w:type="dxa" w:w="1058"/>
            <w:vAlign w:val="center"/>
          </w:tcPr>
          <w:p>
            <w:pPr>
              <w:spacing w:after="60" w:before="60" w:line="240" w:lineRule="auto"/>
            </w:pPr>
            <w:r>
              <w:rPr>
                <w:rFonts w:eastAsia="Noto Sans CJK SC"/>
                <w:b w:val="0"/>
                <w:sz w:val="16"/>
              </w:rPr>
              <w:t>0.3100</w:t>
            </w:r>
          </w:p>
        </w:tc>
        <w:tc>
          <w:tcPr>
            <w:tcW w:type="dxa" w:w="1868"/>
            <w:vAlign w:val="center"/>
          </w:tcPr>
          <w:p>
            <w:pPr>
              <w:spacing w:after="60" w:before="60" w:line="240" w:lineRule="auto"/>
            </w:pPr>
            <w:r>
              <w:rPr>
                <w:rFonts w:eastAsia="Noto Sans CJK SC"/>
                <w:b w:val="0"/>
                <w:sz w:val="16"/>
              </w:rPr>
              <w:t>0.4100</w:t>
            </w:r>
          </w:p>
        </w:tc>
        <w:tc>
          <w:tcPr>
            <w:tcW w:type="dxa" w:w="1774"/>
            <w:vAlign w:val="center"/>
          </w:tcPr>
          <w:p>
            <w:pPr>
              <w:spacing w:after="60" w:before="60" w:line="240" w:lineRule="auto"/>
            </w:pPr>
            <w:r>
              <w:rPr>
                <w:rFonts w:eastAsia="Noto Sans CJK SC"/>
                <w:b w:val="0"/>
                <w:sz w:val="16"/>
              </w:rPr>
              <w:t>10.00 个百分点</w:t>
            </w:r>
          </w:p>
        </w:tc>
      </w:tr>
      <w:tr>
        <w:trPr>
          <w:cantSplit/>
        </w:trPr>
        <w:tc>
          <w:tcPr>
            <w:tcW w:type="dxa" w:w="1868"/>
            <w:vAlign w:val="center"/>
          </w:tcPr>
          <w:p>
            <w:pPr>
              <w:spacing w:after="60" w:before="60" w:line="240" w:lineRule="auto"/>
            </w:pPr>
            <w:r>
              <w:rPr>
                <w:rFonts w:eastAsia="Noto Sans CJK SC"/>
                <w:b w:val="0"/>
                <w:sz w:val="16"/>
              </w:rPr>
              <w:t>验证</w:t>
            </w:r>
          </w:p>
        </w:tc>
        <w:tc>
          <w:tcPr>
            <w:tcW w:type="dxa" w:w="903"/>
            <w:vAlign w:val="center"/>
          </w:tcPr>
          <w:p>
            <w:pPr>
              <w:spacing w:after="60" w:before="60" w:line="240" w:lineRule="auto"/>
            </w:pPr>
            <w:r>
              <w:rPr>
                <w:rFonts w:eastAsia="Noto Sans CJK SC"/>
                <w:b w:val="0"/>
                <w:sz w:val="16"/>
              </w:rPr>
              <w:t>200</w:t>
            </w:r>
          </w:p>
        </w:tc>
        <w:tc>
          <w:tcPr>
            <w:tcW w:type="dxa" w:w="1027"/>
            <w:vAlign w:val="center"/>
          </w:tcPr>
          <w:p>
            <w:pPr>
              <w:spacing w:after="60" w:before="60" w:line="240" w:lineRule="auto"/>
            </w:pPr>
            <w:r>
              <w:rPr>
                <w:rFonts w:eastAsia="Noto Sans CJK SC"/>
                <w:b w:val="0"/>
                <w:sz w:val="16"/>
              </w:rPr>
              <w:t>0.5200</w:t>
            </w:r>
          </w:p>
        </w:tc>
        <w:tc>
          <w:tcPr>
            <w:tcW w:type="dxa" w:w="1027"/>
            <w:vAlign w:val="center"/>
          </w:tcPr>
          <w:p>
            <w:pPr>
              <w:spacing w:after="60" w:before="60" w:line="240" w:lineRule="auto"/>
            </w:pPr>
            <w:r>
              <w:rPr>
                <w:rFonts w:eastAsia="Noto Sans CJK SC"/>
                <w:b w:val="0"/>
                <w:sz w:val="16"/>
              </w:rPr>
              <w:t>0.4550</w:t>
            </w:r>
          </w:p>
        </w:tc>
        <w:tc>
          <w:tcPr>
            <w:tcW w:type="dxa" w:w="1058"/>
            <w:vAlign w:val="center"/>
          </w:tcPr>
          <w:p>
            <w:pPr>
              <w:spacing w:after="60" w:before="60" w:line="240" w:lineRule="auto"/>
            </w:pPr>
            <w:r>
              <w:rPr>
                <w:rFonts w:eastAsia="Noto Sans CJK SC"/>
                <w:b w:val="0"/>
                <w:sz w:val="16"/>
              </w:rPr>
              <w:t>0.5900</w:t>
            </w:r>
          </w:p>
        </w:tc>
        <w:tc>
          <w:tcPr>
            <w:tcW w:type="dxa" w:w="1868"/>
            <w:vAlign w:val="center"/>
          </w:tcPr>
          <w:p>
            <w:pPr>
              <w:spacing w:after="60" w:before="60" w:line="240" w:lineRule="auto"/>
            </w:pPr>
            <w:r>
              <w:rPr>
                <w:rFonts w:eastAsia="Noto Sans CJK SC"/>
                <w:b w:val="0"/>
                <w:sz w:val="16"/>
              </w:rPr>
              <w:t>0.6200</w:t>
            </w:r>
          </w:p>
        </w:tc>
        <w:tc>
          <w:tcPr>
            <w:tcW w:type="dxa" w:w="1774"/>
            <w:vAlign w:val="center"/>
          </w:tcPr>
          <w:p>
            <w:pPr>
              <w:spacing w:after="60" w:before="60" w:line="240" w:lineRule="auto"/>
            </w:pPr>
            <w:r>
              <w:rPr>
                <w:rFonts w:eastAsia="Noto Sans CJK SC"/>
                <w:b w:val="0"/>
                <w:sz w:val="16"/>
              </w:rPr>
              <w:t>3.00 个百分点</w:t>
            </w:r>
          </w:p>
        </w:tc>
      </w:tr>
    </w:tbl>
    <w:p>
      <w:pPr>
        <w:pStyle w:val="BodyText"/>
      </w:pPr>
      <w:r>
        <w:t xml:space="preserve">抽取以 large 最好，推理中 medium 与 coder 并列，验证以 coder 最好。这说明按照完整任务固定一个模型会忽略类型差异。抽取和推理的类型内 Oracle 仍高于最佳固定模型，表明类型先验之外也存在个体互补机会。</w:t>
      </w:r>
    </w:p>
    <w:p>
      <w:pPr>
        <w:pStyle w:val="BodyText"/>
      </w:pPr>
      <w:r>
        <w:t xml:space="preserve">全局 Always Large 的质量为 0.4686，逐节点 Oracle 为 0.6065，差距为 13.79 个百分点。该全局差距同时包含类型间和类型内机会，不能全部归因于问题表示能够学习的信号。Oracle 依赖事后标签，不是可部署路由器。结论是节点粒度值得研究，而非查询级方法在所有场景均无效。</w:t>
      </w:r>
    </w:p>
    <w:p>
      <w:pPr>
        <w:pStyle w:val="Heading3"/>
      </w:pPr>
      <w:bookmarkStart w:id="54" w:name="节点级模型选择"/>
      <w:r>
        <w:t xml:space="preserve">5.2 节点级模型选择</w:t>
      </w:r>
      <w:bookmarkEnd w:id="54"/>
    </w:p>
    <w:p>
      <w:pPr>
        <w:pStyle w:val="FirstParagraph"/>
      </w:pPr>
      <w:r>
        <w:t xml:space="preserve">为检验机会能否转化为实际选择收益，比较开发阶段封存的查询路由和节点路由，并加入仅使用开发类型均值的类型先验。质量按新版矩阵计算；tokens 与时长沿用相同冻结选择的去重任务调用口径。[E01—E02]</w:t>
      </w:r>
    </w:p>
    <w:p>
      <w:pPr>
        <w:pStyle w:val="BodyText"/>
        <w:keepNext/>
        <w:spacing w:before="160"/>
      </w:pPr>
      <w:r>
        <w:t xml:space="preserve">表 5-2 冻结节点路由的质量与资源比较</w:t>
      </w:r>
    </w:p>
    <w:tbl>
      <w:tblPr>
        <w:tblStyle w:val="TableGrid"/>
        <w:tblW w:type="dxa" w:w="9524"/>
        <w:tblLayout w:type="fixed"/>
        <w:tblLook w:firstColumn="1" w:firstRow="1" w:lastColumn="0" w:lastRow="0" w:noHBand="0" w:noVBand="1" w:val="04A0"/>
      </w:tblPr>
      <w:tblGrid>
        <w:gridCol w:w="2154"/>
        <w:gridCol w:w="1247"/>
        <w:gridCol w:w="1531"/>
        <w:gridCol w:w="1984"/>
        <w:gridCol w:w="2608"/>
      </w:tblGrid>
      <w:tr>
        <w:trPr>
          <w:cantSplit/>
          <w:tblHeader/>
        </w:trPr>
        <w:tc>
          <w:tcPr>
            <w:tcW w:type="dxa" w:w="2154"/>
            <w:vAlign w:val="center"/>
            <w:shd w:fill="E8EDF2"/>
          </w:tcPr>
          <w:p>
            <w:pPr>
              <w:spacing w:after="60" w:before="60" w:line="240" w:lineRule="auto"/>
            </w:pPr>
            <w:r>
              <w:rPr>
                <w:rFonts w:eastAsia="Noto Sans CJK SC"/>
                <w:b/>
                <w:sz w:val="18"/>
              </w:rPr>
              <w:t>方法</w:t>
            </w:r>
          </w:p>
        </w:tc>
        <w:tc>
          <w:tcPr>
            <w:tcW w:type="dxa" w:w="1247"/>
            <w:vAlign w:val="center"/>
            <w:shd w:fill="E8EDF2"/>
          </w:tcPr>
          <w:p>
            <w:pPr>
              <w:spacing w:after="60" w:before="60" w:line="240" w:lineRule="auto"/>
            </w:pPr>
            <w:r>
              <w:rPr>
                <w:rFonts w:eastAsia="Noto Sans CJK SC"/>
                <w:b/>
                <w:sz w:val="18"/>
              </w:rPr>
              <w:t>节点平均质量</w:t>
            </w:r>
          </w:p>
        </w:tc>
        <w:tc>
          <w:tcPr>
            <w:tcW w:type="dxa" w:w="1531"/>
            <w:vAlign w:val="center"/>
            <w:shd w:fill="E8EDF2"/>
          </w:tcPr>
          <w:p>
            <w:pPr>
              <w:spacing w:after="60" w:before="60" w:line="240" w:lineRule="auto"/>
            </w:pPr>
            <w:r>
              <w:rPr>
                <w:rFonts w:eastAsia="Noto Sans CJK SC"/>
                <w:b/>
                <w:sz w:val="18"/>
              </w:rPr>
              <w:t>相对查询路由</w:t>
            </w:r>
          </w:p>
        </w:tc>
        <w:tc>
          <w:tcPr>
            <w:tcW w:type="dxa" w:w="1984"/>
            <w:vAlign w:val="center"/>
            <w:shd w:fill="E8EDF2"/>
          </w:tcPr>
          <w:p>
            <w:pPr>
              <w:spacing w:after="60" w:before="60" w:line="240" w:lineRule="auto"/>
            </w:pPr>
            <w:r>
              <w:rPr>
                <w:rFonts w:eastAsia="Noto Sans CJK SC"/>
                <w:b/>
                <w:sz w:val="18"/>
              </w:rPr>
              <w:t>每任务 tokens</w:t>
            </w:r>
          </w:p>
        </w:tc>
        <w:tc>
          <w:tcPr>
            <w:tcW w:type="dxa" w:w="2608"/>
            <w:vAlign w:val="center"/>
            <w:shd w:fill="E8EDF2"/>
          </w:tcPr>
          <w:p>
            <w:pPr>
              <w:spacing w:after="60" w:before="60" w:line="240" w:lineRule="auto"/>
            </w:pPr>
            <w:r>
              <w:rPr>
                <w:rFonts w:eastAsia="Noto Sans CJK SC"/>
                <w:b/>
                <w:sz w:val="18"/>
              </w:rPr>
              <w:t>每任务服务时长总和（秒）</w:t>
            </w:r>
          </w:p>
        </w:tc>
      </w:tr>
      <w:tr>
        <w:trPr>
          <w:cantSplit/>
        </w:trPr>
        <w:tc>
          <w:tcPr>
            <w:tcW w:type="dxa" w:w="2154"/>
            <w:vAlign w:val="center"/>
          </w:tcPr>
          <w:p>
            <w:pPr>
              <w:spacing w:after="60" w:before="60" w:line="240" w:lineRule="auto"/>
            </w:pPr>
            <w:r>
              <w:rPr>
                <w:rFonts w:eastAsia="Noto Sans CJK SC"/>
                <w:b w:val="0"/>
                <w:sz w:val="18"/>
              </w:rPr>
              <w:t>Always Large</w:t>
            </w:r>
          </w:p>
        </w:tc>
        <w:tc>
          <w:tcPr>
            <w:tcW w:type="dxa" w:w="1247"/>
            <w:vAlign w:val="center"/>
          </w:tcPr>
          <w:p>
            <w:pPr>
              <w:spacing w:after="60" w:before="60" w:line="240" w:lineRule="auto"/>
            </w:pPr>
            <w:r>
              <w:rPr>
                <w:rFonts w:eastAsia="Noto Sans CJK SC"/>
                <w:b w:val="0"/>
                <w:sz w:val="18"/>
              </w:rPr>
              <w:t>0.4686</w:t>
            </w:r>
          </w:p>
        </w:tc>
        <w:tc>
          <w:tcPr>
            <w:tcW w:type="dxa" w:w="1531"/>
            <w:vAlign w:val="center"/>
          </w:tcPr>
          <w:p>
            <w:pPr>
              <w:spacing w:after="60" w:before="60" w:line="240" w:lineRule="auto"/>
            </w:pPr>
            <w:r>
              <w:rPr>
                <w:rFonts w:eastAsia="Noto Sans CJK SC"/>
                <w:b w:val="0"/>
                <w:sz w:val="18"/>
              </w:rPr>
              <w:t>+0.20 个百分点</w:t>
            </w:r>
          </w:p>
        </w:tc>
        <w:tc>
          <w:tcPr>
            <w:tcW w:type="dxa" w:w="1984"/>
            <w:vAlign w:val="center"/>
          </w:tcPr>
          <w:p>
            <w:pPr>
              <w:spacing w:after="60" w:before="60" w:line="240" w:lineRule="auto"/>
            </w:pPr>
            <w:r>
              <w:rPr>
                <w:rFonts w:eastAsia="Noto Sans CJK SC"/>
                <w:b w:val="0"/>
                <w:sz w:val="18"/>
              </w:rPr>
              <w:t>4,991.02</w:t>
            </w:r>
          </w:p>
        </w:tc>
        <w:tc>
          <w:tcPr>
            <w:tcW w:type="dxa" w:w="2608"/>
            <w:vAlign w:val="center"/>
          </w:tcPr>
          <w:p>
            <w:pPr>
              <w:spacing w:after="60" w:before="60" w:line="240" w:lineRule="auto"/>
            </w:pPr>
            <w:r>
              <w:rPr>
                <w:rFonts w:eastAsia="Noto Sans CJK SC"/>
                <w:b w:val="0"/>
                <w:sz w:val="18"/>
              </w:rPr>
              <w:t>11.71</w:t>
            </w:r>
          </w:p>
        </w:tc>
      </w:tr>
      <w:tr>
        <w:trPr>
          <w:cantSplit/>
        </w:trPr>
        <w:tc>
          <w:tcPr>
            <w:tcW w:type="dxa" w:w="2154"/>
            <w:vAlign w:val="center"/>
          </w:tcPr>
          <w:p>
            <w:pPr>
              <w:spacing w:after="60" w:before="60" w:line="240" w:lineRule="auto"/>
            </w:pPr>
            <w:r>
              <w:rPr>
                <w:rFonts w:eastAsia="Noto Sans CJK SC"/>
                <w:b w:val="0"/>
                <w:sz w:val="18"/>
              </w:rPr>
              <w:t>查询路由</w:t>
            </w:r>
          </w:p>
        </w:tc>
        <w:tc>
          <w:tcPr>
            <w:tcW w:type="dxa" w:w="1247"/>
            <w:vAlign w:val="center"/>
          </w:tcPr>
          <w:p>
            <w:pPr>
              <w:spacing w:after="60" w:before="60" w:line="240" w:lineRule="auto"/>
            </w:pPr>
            <w:r>
              <w:rPr>
                <w:rFonts w:eastAsia="Noto Sans CJK SC"/>
                <w:b w:val="0"/>
                <w:sz w:val="18"/>
              </w:rPr>
              <w:t>0.4665</w:t>
            </w:r>
          </w:p>
        </w:tc>
        <w:tc>
          <w:tcPr>
            <w:tcW w:type="dxa" w:w="1531"/>
            <w:vAlign w:val="center"/>
          </w:tcPr>
          <w:p>
            <w:pPr>
              <w:spacing w:after="60" w:before="60" w:line="240" w:lineRule="auto"/>
            </w:pPr>
            <w:r>
              <w:rPr>
                <w:rFonts w:eastAsia="Noto Sans CJK SC"/>
                <w:b w:val="0"/>
                <w:sz w:val="18"/>
              </w:rPr>
              <w:t>—</w:t>
            </w:r>
          </w:p>
        </w:tc>
        <w:tc>
          <w:tcPr>
            <w:tcW w:type="dxa" w:w="1984"/>
            <w:vAlign w:val="center"/>
          </w:tcPr>
          <w:p>
            <w:pPr>
              <w:spacing w:after="60" w:before="60" w:line="240" w:lineRule="auto"/>
            </w:pPr>
            <w:r>
              <w:rPr>
                <w:rFonts w:eastAsia="Noto Sans CJK SC"/>
                <w:b w:val="0"/>
                <w:sz w:val="18"/>
              </w:rPr>
              <w:t>4,985.33</w:t>
            </w:r>
          </w:p>
        </w:tc>
        <w:tc>
          <w:tcPr>
            <w:tcW w:type="dxa" w:w="2608"/>
            <w:vAlign w:val="center"/>
          </w:tcPr>
          <w:p>
            <w:pPr>
              <w:spacing w:after="60" w:before="60" w:line="240" w:lineRule="auto"/>
            </w:pPr>
            <w:r>
              <w:rPr>
                <w:rFonts w:eastAsia="Noto Sans CJK SC"/>
                <w:b w:val="0"/>
                <w:sz w:val="18"/>
              </w:rPr>
              <w:t>10.19</w:t>
            </w:r>
          </w:p>
        </w:tc>
      </w:tr>
      <w:tr>
        <w:trPr>
          <w:cantSplit/>
        </w:trPr>
        <w:tc>
          <w:tcPr>
            <w:tcW w:type="dxa" w:w="2154"/>
            <w:vAlign w:val="center"/>
          </w:tcPr>
          <w:p>
            <w:pPr>
              <w:spacing w:after="60" w:before="60" w:line="240" w:lineRule="auto"/>
            </w:pPr>
            <w:r>
              <w:rPr>
                <w:rFonts w:eastAsia="Noto Sans CJK SC"/>
                <w:b w:val="0"/>
                <w:sz w:val="18"/>
              </w:rPr>
              <w:t>类型先验</w:t>
            </w:r>
          </w:p>
        </w:tc>
        <w:tc>
          <w:tcPr>
            <w:tcW w:type="dxa" w:w="1247"/>
            <w:vAlign w:val="center"/>
          </w:tcPr>
          <w:p>
            <w:pPr>
              <w:spacing w:after="60" w:before="60" w:line="240" w:lineRule="auto"/>
            </w:pPr>
            <w:r>
              <w:rPr>
                <w:rFonts w:eastAsia="Noto Sans CJK SC"/>
                <w:b w:val="0"/>
                <w:sz w:val="18"/>
              </w:rPr>
              <w:t>0.5355</w:t>
            </w:r>
          </w:p>
        </w:tc>
        <w:tc>
          <w:tcPr>
            <w:tcW w:type="dxa" w:w="1531"/>
            <w:vAlign w:val="center"/>
          </w:tcPr>
          <w:p>
            <w:pPr>
              <w:spacing w:after="60" w:before="60" w:line="240" w:lineRule="auto"/>
            </w:pPr>
            <w:r>
              <w:rPr>
                <w:rFonts w:eastAsia="Noto Sans CJK SC"/>
                <w:b w:val="0"/>
                <w:sz w:val="18"/>
              </w:rPr>
              <w:t>+6.90 个百分点</w:t>
            </w:r>
          </w:p>
        </w:tc>
        <w:tc>
          <w:tcPr>
            <w:tcW w:type="dxa" w:w="1984"/>
            <w:vAlign w:val="center"/>
          </w:tcPr>
          <w:p>
            <w:pPr>
              <w:spacing w:after="60" w:before="60" w:line="240" w:lineRule="auto"/>
            </w:pPr>
            <w:r>
              <w:rPr>
                <w:rFonts w:eastAsia="Noto Sans CJK SC"/>
                <w:b w:val="0"/>
                <w:sz w:val="18"/>
              </w:rPr>
              <w:t>本稿未单独汇总</w:t>
            </w:r>
          </w:p>
        </w:tc>
        <w:tc>
          <w:tcPr>
            <w:tcW w:type="dxa" w:w="2608"/>
            <w:vAlign w:val="center"/>
          </w:tcPr>
          <w:p>
            <w:pPr>
              <w:spacing w:after="60" w:before="60" w:line="240" w:lineRule="auto"/>
            </w:pPr>
            <w:r>
              <w:rPr>
                <w:rFonts w:eastAsia="Noto Sans CJK SC"/>
                <w:b w:val="0"/>
                <w:sz w:val="18"/>
              </w:rPr>
              <w:t>本稿未单独汇总</w:t>
            </w:r>
          </w:p>
        </w:tc>
      </w:tr>
      <w:tr>
        <w:trPr>
          <w:cantSplit/>
        </w:trPr>
        <w:tc>
          <w:tcPr>
            <w:tcW w:type="dxa" w:w="2154"/>
            <w:vAlign w:val="center"/>
          </w:tcPr>
          <w:p>
            <w:pPr>
              <w:spacing w:after="60" w:before="60" w:line="240" w:lineRule="auto"/>
            </w:pPr>
            <w:r>
              <w:rPr>
                <w:rFonts w:eastAsia="Noto Sans CJK SC"/>
                <w:b w:val="0"/>
                <w:sz w:val="18"/>
              </w:rPr>
              <w:t>冻结节点路由</w:t>
            </w:r>
          </w:p>
        </w:tc>
        <w:tc>
          <w:tcPr>
            <w:tcW w:type="dxa" w:w="1247"/>
            <w:vAlign w:val="center"/>
          </w:tcPr>
          <w:p>
            <w:pPr>
              <w:spacing w:after="60" w:before="60" w:line="240" w:lineRule="auto"/>
            </w:pPr>
            <w:r>
              <w:rPr>
                <w:rFonts w:eastAsia="Noto Sans CJK SC"/>
                <w:b w:val="0"/>
                <w:sz w:val="18"/>
              </w:rPr>
              <w:t>0.5355</w:t>
            </w:r>
          </w:p>
        </w:tc>
        <w:tc>
          <w:tcPr>
            <w:tcW w:type="dxa" w:w="1531"/>
            <w:vAlign w:val="center"/>
          </w:tcPr>
          <w:p>
            <w:pPr>
              <w:spacing w:after="60" w:before="60" w:line="240" w:lineRule="auto"/>
            </w:pPr>
            <w:r>
              <w:rPr>
                <w:rFonts w:eastAsia="Noto Sans CJK SC"/>
                <w:b w:val="0"/>
                <w:sz w:val="18"/>
              </w:rPr>
              <w:t>+6.90 个百分点</w:t>
            </w:r>
          </w:p>
        </w:tc>
        <w:tc>
          <w:tcPr>
            <w:tcW w:type="dxa" w:w="1984"/>
            <w:vAlign w:val="center"/>
          </w:tcPr>
          <w:p>
            <w:pPr>
              <w:spacing w:after="60" w:before="60" w:line="240" w:lineRule="auto"/>
            </w:pPr>
            <w:r>
              <w:rPr>
                <w:rFonts w:eastAsia="Noto Sans CJK SC"/>
                <w:b w:val="0"/>
                <w:sz w:val="18"/>
              </w:rPr>
              <w:t>4,856.43</w:t>
            </w:r>
          </w:p>
        </w:tc>
        <w:tc>
          <w:tcPr>
            <w:tcW w:type="dxa" w:w="2608"/>
            <w:vAlign w:val="center"/>
          </w:tcPr>
          <w:p>
            <w:pPr>
              <w:spacing w:after="60" w:before="60" w:line="240" w:lineRule="auto"/>
            </w:pPr>
            <w:r>
              <w:rPr>
                <w:rFonts w:eastAsia="Noto Sans CJK SC"/>
                <w:b w:val="0"/>
                <w:sz w:val="18"/>
              </w:rPr>
              <w:t>7.79</w:t>
            </w:r>
          </w:p>
        </w:tc>
      </w:tr>
      <w:tr>
        <w:trPr>
          <w:cantSplit/>
        </w:trPr>
        <w:tc>
          <w:tcPr>
            <w:tcW w:type="dxa" w:w="2154"/>
            <w:vAlign w:val="center"/>
          </w:tcPr>
          <w:p>
            <w:pPr>
              <w:spacing w:after="60" w:before="60" w:line="240" w:lineRule="auto"/>
            </w:pPr>
            <w:r>
              <w:rPr>
                <w:rFonts w:eastAsia="Noto Sans CJK SC"/>
                <w:b w:val="0"/>
                <w:sz w:val="18"/>
              </w:rPr>
              <w:t>节点 Oracle</w:t>
            </w:r>
          </w:p>
        </w:tc>
        <w:tc>
          <w:tcPr>
            <w:tcW w:type="dxa" w:w="1247"/>
            <w:vAlign w:val="center"/>
          </w:tcPr>
          <w:p>
            <w:pPr>
              <w:spacing w:after="60" w:before="60" w:line="240" w:lineRule="auto"/>
            </w:pPr>
            <w:r>
              <w:rPr>
                <w:rFonts w:eastAsia="Noto Sans CJK SC"/>
                <w:b w:val="0"/>
                <w:sz w:val="18"/>
              </w:rPr>
              <w:t>0.6065</w:t>
            </w:r>
          </w:p>
        </w:tc>
        <w:tc>
          <w:tcPr>
            <w:tcW w:type="dxa" w:w="1531"/>
            <w:vAlign w:val="center"/>
          </w:tcPr>
          <w:p>
            <w:pPr>
              <w:spacing w:after="60" w:before="60" w:line="240" w:lineRule="auto"/>
            </w:pPr>
            <w:r>
              <w:rPr>
                <w:rFonts w:eastAsia="Noto Sans CJK SC"/>
                <w:b w:val="0"/>
                <w:sz w:val="18"/>
              </w:rPr>
              <w:t>+14.00 个百分点</w:t>
            </w:r>
          </w:p>
        </w:tc>
        <w:tc>
          <w:tcPr>
            <w:tcW w:type="dxa" w:w="1984"/>
            <w:vAlign w:val="center"/>
          </w:tcPr>
          <w:p>
            <w:pPr>
              <w:spacing w:after="60" w:before="60" w:line="240" w:lineRule="auto"/>
            </w:pPr>
            <w:r>
              <w:rPr>
                <w:rFonts w:eastAsia="Noto Sans CJK SC"/>
                <w:b w:val="0"/>
                <w:sz w:val="18"/>
              </w:rPr>
              <w:t>不作可部署成本比较</w:t>
            </w:r>
          </w:p>
        </w:tc>
        <w:tc>
          <w:tcPr>
            <w:tcW w:type="dxa" w:w="2608"/>
            <w:vAlign w:val="center"/>
          </w:tcPr>
          <w:p>
            <w:pPr>
              <w:spacing w:after="60" w:before="60" w:line="240" w:lineRule="auto"/>
            </w:pPr>
            <w:r>
              <w:rPr>
                <w:rFonts w:eastAsia="Noto Sans CJK SC"/>
                <w:b w:val="0"/>
                <w:sz w:val="18"/>
              </w:rPr>
              <w:t>不作可部署时延比较</w:t>
            </w:r>
          </w:p>
        </w:tc>
      </w:tr>
    </w:tbl>
    <w:p>
      <w:pPr>
        <w:pStyle w:val="BodyText"/>
      </w:pPr>
      <w:r>
        <w:t xml:space="preserve">节点路由相对查询路由的配对质量差异为 6.90 个百分点，事后复核 95% 区间为 [3.44,10.61]，不包含零；节点路由相对类型先验的差异为零，区间为 [−1.21,1.21]，差异不显著。前者同时减少约 2.59% 的任务 tokens 和 23.54% 的服务时间总和。时延下降是同一采集环境中的资源观测，不表示在不同部署条件下保持相同比例。</w:t>
      </w:r>
    </w:p>
    <w:p>
      <w:pPr>
        <w:pStyle w:val="BodyText"/>
      </w:pPr>
      <w:r>
        <w:t xml:space="preserve">开发消融和跨域结果进一步限制贡献归因。</w:t>
      </w:r>
    </w:p>
    <w:p>
      <w:pPr>
        <w:pStyle w:val="BodyText"/>
        <w:keepNext/>
        <w:spacing w:before="160"/>
      </w:pPr>
      <w:r>
        <w:t xml:space="preserve">表 5-3 类型先验与问题表示消融</w:t>
      </w:r>
    </w:p>
    <w:tbl>
      <w:tblPr>
        <w:tblStyle w:val="TableGrid"/>
        <w:tblW w:type="dxa" w:w="9524"/>
        <w:tblLayout w:type="fixed"/>
        <w:tblLook w:firstColumn="1" w:firstRow="1" w:lastColumn="0" w:lastRow="0" w:noHBand="0" w:noVBand="1" w:val="04A0"/>
      </w:tblPr>
      <w:tblGrid>
        <w:gridCol w:w="2154"/>
        <w:gridCol w:w="1247"/>
        <w:gridCol w:w="1531"/>
        <w:gridCol w:w="1984"/>
        <w:gridCol w:w="2608"/>
      </w:tblGrid>
      <w:tr>
        <w:trPr>
          <w:cantSplit/>
          <w:tblHeader/>
        </w:trPr>
        <w:tc>
          <w:tcPr>
            <w:tcW w:type="dxa" w:w="2154"/>
            <w:vAlign w:val="center"/>
            <w:shd w:fill="E8EDF2"/>
          </w:tcPr>
          <w:p>
            <w:pPr>
              <w:spacing w:after="60" w:before="60" w:line="240" w:lineRule="auto"/>
            </w:pPr>
            <w:r>
              <w:rPr>
                <w:rFonts w:eastAsia="Noto Sans CJK SC"/>
                <w:b/>
                <w:sz w:val="18"/>
              </w:rPr>
              <w:t>面板与评分版本</w:t>
            </w:r>
          </w:p>
        </w:tc>
        <w:tc>
          <w:tcPr>
            <w:tcW w:type="dxa" w:w="1247"/>
            <w:vAlign w:val="center"/>
            <w:shd w:fill="E8EDF2"/>
          </w:tcPr>
          <w:p>
            <w:pPr>
              <w:spacing w:after="60" w:before="60" w:line="240" w:lineRule="auto"/>
            </w:pPr>
            <w:r>
              <w:rPr>
                <w:rFonts w:eastAsia="Noto Sans CJK SC"/>
                <w:b/>
                <w:sz w:val="18"/>
              </w:rPr>
              <w:t>查询路由</w:t>
            </w:r>
          </w:p>
        </w:tc>
        <w:tc>
          <w:tcPr>
            <w:tcW w:type="dxa" w:w="1531"/>
            <w:vAlign w:val="center"/>
            <w:shd w:fill="E8EDF2"/>
          </w:tcPr>
          <w:p>
            <w:pPr>
              <w:spacing w:after="60" w:before="60" w:line="240" w:lineRule="auto"/>
            </w:pPr>
            <w:r>
              <w:rPr>
                <w:rFonts w:eastAsia="Noto Sans CJK SC"/>
                <w:b/>
                <w:sz w:val="18"/>
              </w:rPr>
              <w:t>类型先验</w:t>
            </w:r>
          </w:p>
        </w:tc>
        <w:tc>
          <w:tcPr>
            <w:tcW w:type="dxa" w:w="1984"/>
            <w:vAlign w:val="center"/>
            <w:shd w:fill="E8EDF2"/>
          </w:tcPr>
          <w:p>
            <w:pPr>
              <w:spacing w:after="60" w:before="60" w:line="240" w:lineRule="auto"/>
            </w:pPr>
            <w:r>
              <w:rPr>
                <w:rFonts w:eastAsia="Noto Sans CJK SC"/>
                <w:b/>
                <w:sz w:val="18"/>
              </w:rPr>
              <w:t>学习式节点方法</w:t>
            </w:r>
          </w:p>
        </w:tc>
        <w:tc>
          <w:tcPr>
            <w:tcW w:type="dxa" w:w="2608"/>
            <w:vAlign w:val="center"/>
            <w:shd w:fill="E8EDF2"/>
          </w:tcPr>
          <w:p>
            <w:pPr>
              <w:spacing w:after="60" w:before="60" w:line="240" w:lineRule="auto"/>
            </w:pPr>
            <w:r>
              <w:rPr>
                <w:rFonts w:eastAsia="Noto Sans CJK SC"/>
                <w:b/>
                <w:sz w:val="18"/>
              </w:rPr>
              <w:t>解释</w:t>
            </w:r>
          </w:p>
        </w:tc>
      </w:tr>
      <w:tr>
        <w:trPr>
          <w:cantSplit/>
        </w:trPr>
        <w:tc>
          <w:tcPr>
            <w:tcW w:type="dxa" w:w="2154"/>
            <w:vAlign w:val="center"/>
          </w:tcPr>
          <w:p>
            <w:pPr>
              <w:spacing w:after="60" w:before="60" w:line="240" w:lineRule="auto"/>
            </w:pPr>
            <w:r>
              <w:rPr>
                <w:rFonts w:eastAsia="Noto Sans CJK SC"/>
                <w:b w:val="0"/>
                <w:sz w:val="18"/>
              </w:rPr>
              <w:t>开发消融，原评分</w:t>
            </w:r>
          </w:p>
        </w:tc>
        <w:tc>
          <w:tcPr>
            <w:tcW w:type="dxa" w:w="1247"/>
            <w:vAlign w:val="center"/>
          </w:tcPr>
          <w:p>
            <w:pPr>
              <w:spacing w:after="60" w:before="60" w:line="240" w:lineRule="auto"/>
            </w:pPr>
            <w:r>
              <w:rPr>
                <w:rFonts w:eastAsia="Noto Sans CJK SC"/>
                <w:b w:val="0"/>
                <w:sz w:val="18"/>
              </w:rPr>
              <w:t>0.3952</w:t>
            </w:r>
          </w:p>
        </w:tc>
        <w:tc>
          <w:tcPr>
            <w:tcW w:type="dxa" w:w="1531"/>
            <w:vAlign w:val="center"/>
          </w:tcPr>
          <w:p>
            <w:pPr>
              <w:spacing w:after="60" w:before="60" w:line="240" w:lineRule="auto"/>
            </w:pPr>
            <w:r>
              <w:rPr>
                <w:rFonts w:eastAsia="Noto Sans CJK SC"/>
                <w:b w:val="0"/>
                <w:sz w:val="18"/>
              </w:rPr>
              <w:t>0.4543</w:t>
            </w:r>
          </w:p>
        </w:tc>
        <w:tc>
          <w:tcPr>
            <w:tcW w:type="dxa" w:w="1984"/>
            <w:vAlign w:val="center"/>
          </w:tcPr>
          <w:p>
            <w:pPr>
              <w:spacing w:after="60" w:before="60" w:line="240" w:lineRule="auto"/>
            </w:pPr>
            <w:r>
              <w:rPr>
                <w:rFonts w:eastAsia="Noto Sans CJK SC"/>
                <w:b w:val="0"/>
                <w:sz w:val="18"/>
              </w:rPr>
              <w:t>0.4704</w:t>
            </w:r>
          </w:p>
        </w:tc>
        <w:tc>
          <w:tcPr>
            <w:tcW w:type="dxa" w:w="2608"/>
            <w:vAlign w:val="center"/>
          </w:tcPr>
          <w:p>
            <w:pPr>
              <w:spacing w:after="60" w:before="60" w:line="240" w:lineRule="auto"/>
            </w:pPr>
            <w:r>
              <w:rPr>
                <w:rFonts w:eastAsia="Noto Sans CJK SC"/>
                <w:b w:val="0"/>
                <w:sz w:val="18"/>
              </w:rPr>
              <w:t>类型先验贡献主要增量；节点表示另增约 1.61 个百分点</w:t>
            </w:r>
          </w:p>
        </w:tc>
      </w:tr>
      <w:tr>
        <w:trPr>
          <w:cantSplit/>
        </w:trPr>
        <w:tc>
          <w:tcPr>
            <w:tcW w:type="dxa" w:w="2154"/>
            <w:vAlign w:val="center"/>
          </w:tcPr>
          <w:p>
            <w:pPr>
              <w:spacing w:after="60" w:before="60" w:line="240" w:lineRule="auto"/>
            </w:pPr>
            <w:r>
              <w:rPr>
                <w:rFonts w:eastAsia="Noto Sans CJK SC"/>
                <w:b w:val="0"/>
                <w:sz w:val="18"/>
              </w:rPr>
              <w:t>MultiHiertt 确认，新版评分</w:t>
            </w:r>
          </w:p>
        </w:tc>
        <w:tc>
          <w:tcPr>
            <w:tcW w:type="dxa" w:w="1247"/>
            <w:vAlign w:val="center"/>
          </w:tcPr>
          <w:p>
            <w:pPr>
              <w:spacing w:after="60" w:before="60" w:line="240" w:lineRule="auto"/>
            </w:pPr>
            <w:r>
              <w:rPr>
                <w:rFonts w:eastAsia="Noto Sans CJK SC"/>
                <w:b w:val="0"/>
                <w:sz w:val="18"/>
              </w:rPr>
              <w:t>0.4665</w:t>
            </w:r>
          </w:p>
        </w:tc>
        <w:tc>
          <w:tcPr>
            <w:tcW w:type="dxa" w:w="1531"/>
            <w:vAlign w:val="center"/>
          </w:tcPr>
          <w:p>
            <w:pPr>
              <w:spacing w:after="60" w:before="60" w:line="240" w:lineRule="auto"/>
            </w:pPr>
            <w:r>
              <w:rPr>
                <w:rFonts w:eastAsia="Noto Sans CJK SC"/>
                <w:b w:val="0"/>
                <w:sz w:val="18"/>
              </w:rPr>
              <w:t>0.5355</w:t>
            </w:r>
          </w:p>
        </w:tc>
        <w:tc>
          <w:tcPr>
            <w:tcW w:type="dxa" w:w="1984"/>
            <w:vAlign w:val="center"/>
          </w:tcPr>
          <w:p>
            <w:pPr>
              <w:spacing w:after="60" w:before="60" w:line="240" w:lineRule="auto"/>
            </w:pPr>
            <w:r>
              <w:rPr>
                <w:rFonts w:eastAsia="Noto Sans CJK SC"/>
                <w:b w:val="0"/>
                <w:sz w:val="18"/>
              </w:rPr>
              <w:t>0.5355</w:t>
            </w:r>
          </w:p>
        </w:tc>
        <w:tc>
          <w:tcPr>
            <w:tcW w:type="dxa" w:w="2608"/>
            <w:vAlign w:val="center"/>
          </w:tcPr>
          <w:p>
            <w:pPr>
              <w:spacing w:after="60" w:before="60" w:line="240" w:lineRule="auto"/>
            </w:pPr>
            <w:r>
              <w:rPr>
                <w:rFonts w:eastAsia="Noto Sans CJK SC"/>
                <w:b w:val="0"/>
                <w:sz w:val="18"/>
              </w:rPr>
              <w:t>节点表示未超过类型先验</w:t>
            </w:r>
          </w:p>
        </w:tc>
      </w:tr>
      <w:tr>
        <w:trPr>
          <w:cantSplit/>
        </w:trPr>
        <w:tc>
          <w:tcPr>
            <w:tcW w:type="dxa" w:w="2154"/>
            <w:vAlign w:val="center"/>
          </w:tcPr>
          <w:p>
            <w:pPr>
              <w:spacing w:after="60" w:before="60" w:line="240" w:lineRule="auto"/>
            </w:pPr>
            <w:r>
              <w:rPr>
                <w:rFonts w:eastAsia="Noto Sans CJK SC"/>
                <w:b w:val="0"/>
                <w:sz w:val="18"/>
              </w:rPr>
              <w:t>TAT-QA 节点分析</w:t>
            </w:r>
          </w:p>
        </w:tc>
        <w:tc>
          <w:tcPr>
            <w:tcW w:type="dxa" w:w="1247"/>
            <w:vAlign w:val="center"/>
          </w:tcPr>
          <w:p>
            <w:pPr>
              <w:spacing w:after="60" w:before="60" w:line="240" w:lineRule="auto"/>
            </w:pPr>
            <w:r>
              <w:rPr>
                <w:rFonts w:eastAsia="Noto Sans CJK SC"/>
                <w:b w:val="0"/>
                <w:sz w:val="18"/>
              </w:rPr>
              <w:t>0.6100</w:t>
            </w:r>
          </w:p>
        </w:tc>
        <w:tc>
          <w:tcPr>
            <w:tcW w:type="dxa" w:w="1531"/>
            <w:vAlign w:val="center"/>
          </w:tcPr>
          <w:p>
            <w:pPr>
              <w:spacing w:after="60" w:before="60" w:line="240" w:lineRule="auto"/>
            </w:pPr>
            <w:r>
              <w:rPr>
                <w:rFonts w:eastAsia="Noto Sans CJK SC"/>
                <w:b w:val="0"/>
                <w:sz w:val="18"/>
              </w:rPr>
              <w:t>0.6300</w:t>
            </w:r>
          </w:p>
        </w:tc>
        <w:tc>
          <w:tcPr>
            <w:tcW w:type="dxa" w:w="1984"/>
            <w:vAlign w:val="center"/>
          </w:tcPr>
          <w:p>
            <w:pPr>
              <w:spacing w:after="60" w:before="60" w:line="240" w:lineRule="auto"/>
            </w:pPr>
            <w:r>
              <w:rPr>
                <w:rFonts w:eastAsia="Noto Sans CJK SC"/>
                <w:b w:val="0"/>
                <w:sz w:val="18"/>
              </w:rPr>
              <w:t>0.6100</w:t>
            </w:r>
          </w:p>
        </w:tc>
        <w:tc>
          <w:tcPr>
            <w:tcW w:type="dxa" w:w="2608"/>
            <w:vAlign w:val="center"/>
          </w:tcPr>
          <w:p>
            <w:pPr>
              <w:spacing w:after="60" w:before="60" w:line="240" w:lineRule="auto"/>
            </w:pPr>
            <w:r>
              <w:rPr>
                <w:rFonts w:eastAsia="Noto Sans CJK SC"/>
                <w:b w:val="0"/>
                <w:sz w:val="18"/>
              </w:rPr>
              <w:t>完整学习式版本相对类型先验差异不显著</w:t>
            </w:r>
          </w:p>
        </w:tc>
      </w:tr>
    </w:tbl>
    <w:p>
      <w:pPr>
        <w:pStyle w:val="BodyText"/>
      </w:pPr>
      <w:r>
        <w:t xml:space="preserve">TAT-QA 的差异区间为 [−5.5,1.5] 个百分点。[E03] 不同面板的特征与评分版本已在表中区分，不能据此作严格跨域难度排序。实验支持</w:t>
      </w:r>
      <w:r>
        <w:t xml:space="preserve">“</w:t>
      </w:r>
      <w:r>
        <w:t xml:space="preserve">将选择对象下降到类型化节点</w:t>
      </w:r>
      <w:r>
        <w:t xml:space="preserve">”</w:t>
      </w:r>
      <w:r>
        <w:t xml:space="preserve">的贡献，不支持</w:t>
      </w:r>
      <w:r>
        <w:t xml:space="preserve">“</w:t>
      </w:r>
      <w:r>
        <w:t xml:space="preserve">学习到普遍优于类型先验的节点表示</w:t>
      </w:r>
      <w:r>
        <w:t xml:space="preserve">”</w:t>
      </w:r>
      <w:r>
        <w:t xml:space="preserve">。</w:t>
      </w:r>
    </w:p>
    <w:p>
      <w:pPr>
        <w:pStyle w:val="Heading3"/>
      </w:pPr>
      <w:bookmarkStart w:id="55" w:name="任务分解与结构质量"/>
      <w:r>
        <w:t xml:space="preserve">5.3 任务分解与结构质量</w:t>
      </w:r>
      <w:bookmarkEnd w:id="55"/>
    </w:p>
    <w:p>
      <w:pPr>
        <w:pStyle w:val="FirstParagraph"/>
      </w:pPr>
      <w:r>
        <w:t xml:space="preserve">本节检验显式分解是否必然改善最终答案。首先在有匹配整题作答记录的任务上比较整题生成与 DAG，避免直接比较样本量不同的全量均值。[E04]</w:t>
      </w:r>
    </w:p>
    <w:p>
      <w:pPr>
        <w:pStyle w:val="BodyText"/>
        <w:keepNext/>
        <w:spacing w:before="160"/>
      </w:pPr>
      <w:r>
        <w:t xml:space="preserve">表 5-4 整题生成与依赖图的配对比较</w:t>
      </w:r>
    </w:p>
    <w:tbl>
      <w:tblPr>
        <w:tblStyle w:val="TableGrid"/>
        <w:tblW w:type="dxa" w:w="9524"/>
        <w:tblLayout w:type="fixed"/>
        <w:tblLook w:firstColumn="1" w:firstRow="1" w:lastColumn="0" w:lastRow="0" w:noHBand="0" w:noVBand="1" w:val="04A0"/>
      </w:tblPr>
      <w:tblGrid>
        <w:gridCol w:w="2154"/>
        <w:gridCol w:w="1247"/>
        <w:gridCol w:w="1531"/>
        <w:gridCol w:w="1984"/>
        <w:gridCol w:w="2608"/>
      </w:tblGrid>
      <w:tr>
        <w:trPr>
          <w:cantSplit/>
          <w:tblHeader/>
        </w:trPr>
        <w:tc>
          <w:tcPr>
            <w:tcW w:type="dxa" w:w="2154"/>
            <w:vAlign w:val="center"/>
            <w:shd w:fill="E8EDF2"/>
          </w:tcPr>
          <w:p>
            <w:pPr>
              <w:spacing w:after="60" w:before="60" w:line="240" w:lineRule="auto"/>
            </w:pPr>
            <w:r>
              <w:rPr>
                <w:rFonts w:eastAsia="Noto Sans CJK SC"/>
                <w:b/>
                <w:sz w:val="18"/>
              </w:rPr>
              <w:t>数据集</w:t>
            </w:r>
          </w:p>
        </w:tc>
        <w:tc>
          <w:tcPr>
            <w:tcW w:type="dxa" w:w="1247"/>
            <w:vAlign w:val="center"/>
            <w:shd w:fill="E8EDF2"/>
          </w:tcPr>
          <w:p>
            <w:pPr>
              <w:spacing w:after="60" w:before="60" w:line="240" w:lineRule="auto"/>
            </w:pPr>
            <w:r>
              <w:rPr>
                <w:rFonts w:eastAsia="Noto Sans CJK SC"/>
                <w:b/>
                <w:sz w:val="18"/>
              </w:rPr>
              <w:t>配对任务数</w:t>
            </w:r>
          </w:p>
        </w:tc>
        <w:tc>
          <w:tcPr>
            <w:tcW w:type="dxa" w:w="1531"/>
            <w:vAlign w:val="center"/>
            <w:shd w:fill="E8EDF2"/>
          </w:tcPr>
          <w:p>
            <w:pPr>
              <w:spacing w:after="60" w:before="60" w:line="240" w:lineRule="auto"/>
            </w:pPr>
            <w:r>
              <w:rPr>
                <w:rFonts w:eastAsia="Noto Sans CJK SC"/>
                <w:b/>
                <w:sz w:val="18"/>
              </w:rPr>
              <w:t>整题正确率</w:t>
            </w:r>
          </w:p>
        </w:tc>
        <w:tc>
          <w:tcPr>
            <w:tcW w:type="dxa" w:w="1984"/>
            <w:vAlign w:val="center"/>
            <w:shd w:fill="E8EDF2"/>
          </w:tcPr>
          <w:p>
            <w:pPr>
              <w:spacing w:after="60" w:before="60" w:line="240" w:lineRule="auto"/>
            </w:pPr>
            <w:r>
              <w:rPr>
                <w:rFonts w:eastAsia="Noto Sans CJK SC"/>
                <w:b/>
                <w:sz w:val="18"/>
              </w:rPr>
              <w:t>配对 DAG 正确率</w:t>
            </w:r>
          </w:p>
        </w:tc>
        <w:tc>
          <w:tcPr>
            <w:tcW w:type="dxa" w:w="2608"/>
            <w:vAlign w:val="center"/>
            <w:shd w:fill="E8EDF2"/>
          </w:tcPr>
          <w:p>
            <w:pPr>
              <w:spacing w:after="60" w:before="60" w:line="240" w:lineRule="auto"/>
            </w:pPr>
            <w:r>
              <w:rPr>
                <w:rFonts w:eastAsia="Noto Sans CJK SC"/>
                <w:b/>
                <w:sz w:val="18"/>
              </w:rPr>
              <w:t>配对差异及原记录 95% 区间</w:t>
            </w:r>
          </w:p>
        </w:tc>
      </w:tr>
      <w:tr>
        <w:trPr>
          <w:cantSplit/>
        </w:trPr>
        <w:tc>
          <w:tcPr>
            <w:tcW w:type="dxa" w:w="2154"/>
            <w:vAlign w:val="center"/>
          </w:tcPr>
          <w:p>
            <w:pPr>
              <w:spacing w:after="60" w:before="60" w:line="240" w:lineRule="auto"/>
            </w:pPr>
            <w:r>
              <w:rPr>
                <w:rFonts w:eastAsia="Noto Sans CJK SC"/>
                <w:b w:val="0"/>
                <w:sz w:val="18"/>
              </w:rPr>
              <w:t>TAT-QA</w:t>
            </w:r>
          </w:p>
        </w:tc>
        <w:tc>
          <w:tcPr>
            <w:tcW w:type="dxa" w:w="1247"/>
            <w:vAlign w:val="center"/>
          </w:tcPr>
          <w:p>
            <w:pPr>
              <w:spacing w:after="60" w:before="60" w:line="240" w:lineRule="auto"/>
            </w:pPr>
            <w:r>
              <w:rPr>
                <w:rFonts w:eastAsia="Noto Sans CJK SC"/>
                <w:b w:val="0"/>
                <w:sz w:val="18"/>
              </w:rPr>
              <w:t>160</w:t>
            </w:r>
          </w:p>
        </w:tc>
        <w:tc>
          <w:tcPr>
            <w:tcW w:type="dxa" w:w="1531"/>
            <w:vAlign w:val="center"/>
          </w:tcPr>
          <w:p>
            <w:pPr>
              <w:spacing w:after="60" w:before="60" w:line="240" w:lineRule="auto"/>
            </w:pPr>
            <w:r>
              <w:rPr>
                <w:rFonts w:eastAsia="Noto Sans CJK SC"/>
                <w:b w:val="0"/>
                <w:sz w:val="18"/>
              </w:rPr>
              <w:t>52.50%</w:t>
            </w:r>
          </w:p>
        </w:tc>
        <w:tc>
          <w:tcPr>
            <w:tcW w:type="dxa" w:w="1984"/>
            <w:vAlign w:val="center"/>
          </w:tcPr>
          <w:p>
            <w:pPr>
              <w:spacing w:after="60" w:before="60" w:line="240" w:lineRule="auto"/>
            </w:pPr>
            <w:r>
              <w:rPr>
                <w:rFonts w:eastAsia="Noto Sans CJK SC"/>
                <w:b w:val="0"/>
                <w:sz w:val="18"/>
              </w:rPr>
              <w:t>43.13%</w:t>
            </w:r>
          </w:p>
        </w:tc>
        <w:tc>
          <w:tcPr>
            <w:tcW w:type="dxa" w:w="2608"/>
            <w:vAlign w:val="center"/>
          </w:tcPr>
          <w:p>
            <w:pPr>
              <w:spacing w:after="60" w:before="60" w:line="240" w:lineRule="auto"/>
            </w:pPr>
            <w:r>
              <w:rPr>
                <w:rFonts w:eastAsia="Noto Sans CJK SC"/>
                <w:b w:val="0"/>
                <w:sz w:val="18"/>
              </w:rPr>
              <w:t>−9.38 个百分点 [−17.5,−1.3]</w:t>
            </w:r>
          </w:p>
        </w:tc>
      </w:tr>
      <w:tr>
        <w:trPr>
          <w:cantSplit/>
        </w:trPr>
        <w:tc>
          <w:tcPr>
            <w:tcW w:type="dxa" w:w="2154"/>
            <w:vAlign w:val="center"/>
          </w:tcPr>
          <w:p>
            <w:pPr>
              <w:spacing w:after="60" w:before="60" w:line="240" w:lineRule="auto"/>
            </w:pPr>
            <w:r>
              <w:rPr>
                <w:rFonts w:eastAsia="Noto Sans CJK SC"/>
                <w:b w:val="0"/>
                <w:sz w:val="18"/>
              </w:rPr>
              <w:t>MultiHiertt</w:t>
            </w:r>
          </w:p>
        </w:tc>
        <w:tc>
          <w:tcPr>
            <w:tcW w:type="dxa" w:w="1247"/>
            <w:vAlign w:val="center"/>
          </w:tcPr>
          <w:p>
            <w:pPr>
              <w:spacing w:after="60" w:before="60" w:line="240" w:lineRule="auto"/>
            </w:pPr>
            <w:r>
              <w:rPr>
                <w:rFonts w:eastAsia="Noto Sans CJK SC"/>
                <w:b w:val="0"/>
                <w:sz w:val="18"/>
              </w:rPr>
              <w:t>50</w:t>
            </w:r>
          </w:p>
        </w:tc>
        <w:tc>
          <w:tcPr>
            <w:tcW w:type="dxa" w:w="1531"/>
            <w:vAlign w:val="center"/>
          </w:tcPr>
          <w:p>
            <w:pPr>
              <w:spacing w:after="60" w:before="60" w:line="240" w:lineRule="auto"/>
            </w:pPr>
            <w:r>
              <w:rPr>
                <w:rFonts w:eastAsia="Noto Sans CJK SC"/>
                <w:b w:val="0"/>
                <w:sz w:val="18"/>
              </w:rPr>
              <w:t>8.00%</w:t>
            </w:r>
          </w:p>
        </w:tc>
        <w:tc>
          <w:tcPr>
            <w:tcW w:type="dxa" w:w="1984"/>
            <w:vAlign w:val="center"/>
          </w:tcPr>
          <w:p>
            <w:pPr>
              <w:spacing w:after="60" w:before="60" w:line="240" w:lineRule="auto"/>
            </w:pPr>
            <w:r>
              <w:rPr>
                <w:rFonts w:eastAsia="Noto Sans CJK SC"/>
                <w:b w:val="0"/>
                <w:sz w:val="18"/>
              </w:rPr>
              <w:t>22.00%</w:t>
            </w:r>
          </w:p>
        </w:tc>
        <w:tc>
          <w:tcPr>
            <w:tcW w:type="dxa" w:w="2608"/>
            <w:vAlign w:val="center"/>
          </w:tcPr>
          <w:p>
            <w:pPr>
              <w:spacing w:after="60" w:before="60" w:line="240" w:lineRule="auto"/>
            </w:pPr>
            <w:r>
              <w:rPr>
                <w:rFonts w:eastAsia="Noto Sans CJK SC"/>
                <w:b w:val="0"/>
                <w:sz w:val="18"/>
              </w:rPr>
              <w:t>+14.00 个百分点 [2.0,26.0]</w:t>
            </w:r>
          </w:p>
        </w:tc>
      </w:tr>
      <w:tr>
        <w:trPr>
          <w:cantSplit/>
        </w:trPr>
        <w:tc>
          <w:tcPr>
            <w:tcW w:type="dxa" w:w="2154"/>
            <w:vAlign w:val="center"/>
          </w:tcPr>
          <w:p>
            <w:pPr>
              <w:spacing w:after="60" w:before="60" w:line="240" w:lineRule="auto"/>
            </w:pPr>
            <w:r>
              <w:rPr>
                <w:rFonts w:eastAsia="Noto Sans CJK SC"/>
                <w:b w:val="0"/>
                <w:sz w:val="18"/>
              </w:rPr>
              <w:t>两者配对汇总</w:t>
            </w:r>
          </w:p>
        </w:tc>
        <w:tc>
          <w:tcPr>
            <w:tcW w:type="dxa" w:w="1247"/>
            <w:vAlign w:val="center"/>
          </w:tcPr>
          <w:p>
            <w:pPr>
              <w:spacing w:after="60" w:before="60" w:line="240" w:lineRule="auto"/>
            </w:pPr>
            <w:r>
              <w:rPr>
                <w:rFonts w:eastAsia="Noto Sans CJK SC"/>
                <w:b w:val="0"/>
                <w:sz w:val="18"/>
              </w:rPr>
              <w:t>210</w:t>
            </w:r>
          </w:p>
        </w:tc>
        <w:tc>
          <w:tcPr>
            <w:tcW w:type="dxa" w:w="1531"/>
            <w:vAlign w:val="center"/>
          </w:tcPr>
          <w:p>
            <w:pPr>
              <w:spacing w:after="60" w:before="60" w:line="240" w:lineRule="auto"/>
            </w:pPr>
            <w:r>
              <w:rPr>
                <w:rFonts w:eastAsia="Noto Sans CJK SC"/>
                <w:b w:val="0"/>
                <w:sz w:val="18"/>
              </w:rPr>
              <w:t>41.90%</w:t>
            </w:r>
          </w:p>
        </w:tc>
        <w:tc>
          <w:tcPr>
            <w:tcW w:type="dxa" w:w="1984"/>
            <w:vAlign w:val="center"/>
          </w:tcPr>
          <w:p>
            <w:pPr>
              <w:spacing w:after="60" w:before="60" w:line="240" w:lineRule="auto"/>
            </w:pPr>
            <w:r>
              <w:rPr>
                <w:rFonts w:eastAsia="Noto Sans CJK SC"/>
                <w:b w:val="0"/>
                <w:sz w:val="18"/>
              </w:rPr>
              <w:t>38.10%</w:t>
            </w:r>
          </w:p>
        </w:tc>
        <w:tc>
          <w:tcPr>
            <w:tcW w:type="dxa" w:w="2608"/>
            <w:vAlign w:val="center"/>
          </w:tcPr>
          <w:p>
            <w:pPr>
              <w:spacing w:after="60" w:before="60" w:line="240" w:lineRule="auto"/>
            </w:pPr>
            <w:r>
              <w:rPr>
                <w:rFonts w:eastAsia="Noto Sans CJK SC"/>
                <w:b w:val="0"/>
                <w:sz w:val="18"/>
              </w:rPr>
              <w:t>−3.81 个百分点 [−10.5,3.3]</w:t>
            </w:r>
          </w:p>
        </w:tc>
      </w:tr>
    </w:tbl>
    <w:p>
      <w:pPr>
        <w:pStyle w:val="BodyText"/>
      </w:pPr>
      <w:r>
        <w:t xml:space="preserve">配对 DAG 数值由同一文件中的整题均值与配对差异恢复，不使用不同样本量的 DAG 全量均值。TAT-QA 上分解表现较低，MultiHiertt 上较高，汇总差异不显著。该结果与</w:t>
      </w:r>
      <w:r>
        <w:t xml:space="preserve">“</w:t>
      </w:r>
      <w:r>
        <w:t xml:space="preserve">分解总有益</w:t>
      </w:r>
      <w:r>
        <w:t xml:space="preserve">”</w:t>
      </w:r>
      <w:r>
        <w:t xml:space="preserve">不一致，也表明不能只选择一个有利数据集证明方法。</w:t>
      </w:r>
    </w:p>
    <w:p>
      <w:pPr>
        <w:pStyle w:val="BodyText"/>
      </w:pPr>
      <w:r>
        <w:t xml:space="preserve">这些实验具有重要输入限制。历史 TAT-QA 采集部分使用真实抽取，解析失败存在标准事实回退；MultiHiertt 的 50 个配对样本取自标准输入条件下的节点结果，不能将该配对优势视为真实抽取链优势。因此表中比较是既有协议下的分解效用证据，不是两域均完全无金标准输入的部署评价。</w:t>
      </w:r>
    </w:p>
    <w:p>
      <w:pPr>
        <w:pStyle w:val="BodyText"/>
      </w:pPr>
      <w:r>
        <w:t xml:space="preserve">项目另有 260 条复杂度分层记录，以程序运算数作为离线复杂度代理。其合并描述统计如下。[E05]</w:t>
      </w:r>
    </w:p>
    <w:p>
      <w:pPr>
        <w:pStyle w:val="BodyText"/>
        <w:keepNext/>
        <w:spacing w:before="160"/>
      </w:pPr>
      <w:r>
        <w:t xml:space="preserve">表 5-5 复杂度分层的探索性记录</w:t>
      </w:r>
    </w:p>
    <w:tbl>
      <w:tblPr>
        <w:tblStyle w:val="TableGrid"/>
        <w:tblW w:type="dxa" w:w="9524"/>
        <w:tblLayout w:type="fixed"/>
        <w:tblLook w:firstColumn="1" w:firstRow="1" w:lastColumn="0" w:lastRow="0" w:noHBand="0" w:noVBand="1" w:val="04A0"/>
      </w:tblPr>
      <w:tblGrid>
        <w:gridCol w:w="2154"/>
        <w:gridCol w:w="1247"/>
        <w:gridCol w:w="1531"/>
        <w:gridCol w:w="1984"/>
        <w:gridCol w:w="2608"/>
      </w:tblGrid>
      <w:tr>
        <w:trPr>
          <w:cantSplit/>
          <w:tblHeader/>
        </w:trPr>
        <w:tc>
          <w:tcPr>
            <w:tcW w:type="dxa" w:w="2154"/>
            <w:vAlign w:val="center"/>
            <w:shd w:fill="E8EDF2"/>
          </w:tcPr>
          <w:p>
            <w:pPr>
              <w:spacing w:after="60" w:before="60" w:line="240" w:lineRule="auto"/>
            </w:pPr>
            <w:r>
              <w:rPr>
                <w:rFonts w:eastAsia="Noto Sans CJK SC"/>
                <w:b/>
                <w:sz w:val="18"/>
              </w:rPr>
              <w:t>运算复杂度</w:t>
            </w:r>
          </w:p>
        </w:tc>
        <w:tc>
          <w:tcPr>
            <w:tcW w:type="dxa" w:w="1247"/>
            <w:vAlign w:val="center"/>
            <w:shd w:fill="E8EDF2"/>
          </w:tcPr>
          <w:p>
            <w:pPr>
              <w:spacing w:after="60" w:before="60" w:line="240" w:lineRule="auto"/>
            </w:pPr>
            <w:r>
              <w:rPr>
                <w:rFonts w:eastAsia="Noto Sans CJK SC"/>
                <w:b/>
                <w:sz w:val="18"/>
              </w:rPr>
              <w:t>记录数</w:t>
            </w:r>
          </w:p>
        </w:tc>
        <w:tc>
          <w:tcPr>
            <w:tcW w:type="dxa" w:w="1531"/>
            <w:vAlign w:val="center"/>
            <w:shd w:fill="E8EDF2"/>
          </w:tcPr>
          <w:p>
            <w:pPr>
              <w:spacing w:after="60" w:before="60" w:line="240" w:lineRule="auto"/>
            </w:pPr>
            <w:r>
              <w:rPr>
                <w:rFonts w:eastAsia="Noto Sans CJK SC"/>
                <w:b/>
                <w:sz w:val="18"/>
              </w:rPr>
              <w:t>整题正确数</w:t>
            </w:r>
          </w:p>
        </w:tc>
        <w:tc>
          <w:tcPr>
            <w:tcW w:type="dxa" w:w="1984"/>
            <w:vAlign w:val="center"/>
            <w:shd w:fill="E8EDF2"/>
          </w:tcPr>
          <w:p>
            <w:pPr>
              <w:spacing w:after="60" w:before="60" w:line="240" w:lineRule="auto"/>
            </w:pPr>
            <w:r>
              <w:rPr>
                <w:rFonts w:eastAsia="Noto Sans CJK SC"/>
                <w:b/>
                <w:sz w:val="18"/>
              </w:rPr>
              <w:t>DAG 正确数</w:t>
            </w:r>
          </w:p>
        </w:tc>
        <w:tc>
          <w:tcPr>
            <w:tcW w:type="dxa" w:w="2608"/>
            <w:vAlign w:val="center"/>
            <w:shd w:fill="E8EDF2"/>
          </w:tcPr>
          <w:p>
            <w:pPr>
              <w:spacing w:after="60" w:before="60" w:line="240" w:lineRule="auto"/>
            </w:pPr>
            <w:r>
              <w:rPr>
                <w:rFonts w:eastAsia="Noto Sans CJK SC"/>
                <w:b/>
                <w:sz w:val="18"/>
              </w:rPr>
              <w:t>描述性差异</w:t>
            </w:r>
          </w:p>
        </w:tc>
      </w:tr>
      <w:tr>
        <w:trPr>
          <w:cantSplit/>
        </w:trPr>
        <w:tc>
          <w:tcPr>
            <w:tcW w:type="dxa" w:w="2154"/>
            <w:vAlign w:val="center"/>
          </w:tcPr>
          <w:p>
            <w:pPr>
              <w:spacing w:after="60" w:before="60" w:line="240" w:lineRule="auto"/>
            </w:pPr>
            <w:r>
              <w:rPr>
                <w:rFonts w:eastAsia="Noto Sans CJK SC"/>
                <w:b w:val="0"/>
                <w:sz w:val="18"/>
              </w:rPr>
              <w:t>1—2 步</w:t>
            </w:r>
          </w:p>
        </w:tc>
        <w:tc>
          <w:tcPr>
            <w:tcW w:type="dxa" w:w="1247"/>
            <w:vAlign w:val="center"/>
          </w:tcPr>
          <w:p>
            <w:pPr>
              <w:spacing w:after="60" w:before="60" w:line="240" w:lineRule="auto"/>
            </w:pPr>
            <w:r>
              <w:rPr>
                <w:rFonts w:eastAsia="Noto Sans CJK SC"/>
                <w:b w:val="0"/>
                <w:sz w:val="18"/>
              </w:rPr>
              <w:t>196</w:t>
            </w:r>
          </w:p>
        </w:tc>
        <w:tc>
          <w:tcPr>
            <w:tcW w:type="dxa" w:w="1531"/>
            <w:vAlign w:val="center"/>
          </w:tcPr>
          <w:p>
            <w:pPr>
              <w:spacing w:after="60" w:before="60" w:line="240" w:lineRule="auto"/>
            </w:pPr>
            <w:r>
              <w:rPr>
                <w:rFonts w:eastAsia="Noto Sans CJK SC"/>
                <w:b w:val="0"/>
                <w:sz w:val="18"/>
              </w:rPr>
              <w:t>75</w:t>
            </w:r>
          </w:p>
        </w:tc>
        <w:tc>
          <w:tcPr>
            <w:tcW w:type="dxa" w:w="1984"/>
            <w:vAlign w:val="center"/>
          </w:tcPr>
          <w:p>
            <w:pPr>
              <w:spacing w:after="60" w:before="60" w:line="240" w:lineRule="auto"/>
            </w:pPr>
            <w:r>
              <w:rPr>
                <w:rFonts w:eastAsia="Noto Sans CJK SC"/>
                <w:b w:val="0"/>
                <w:sz w:val="18"/>
              </w:rPr>
              <w:t>62</w:t>
            </w:r>
          </w:p>
        </w:tc>
        <w:tc>
          <w:tcPr>
            <w:tcW w:type="dxa" w:w="2608"/>
            <w:vAlign w:val="center"/>
          </w:tcPr>
          <w:p>
            <w:pPr>
              <w:spacing w:after="60" w:before="60" w:line="240" w:lineRule="auto"/>
            </w:pPr>
            <w:r>
              <w:rPr>
                <w:rFonts w:eastAsia="Noto Sans CJK SC"/>
                <w:b w:val="0"/>
                <w:sz w:val="18"/>
              </w:rPr>
              <w:t>−6.63 个百分点</w:t>
            </w:r>
          </w:p>
        </w:tc>
      </w:tr>
      <w:tr>
        <w:trPr>
          <w:cantSplit/>
        </w:trPr>
        <w:tc>
          <w:tcPr>
            <w:tcW w:type="dxa" w:w="2154"/>
            <w:vAlign w:val="center"/>
          </w:tcPr>
          <w:p>
            <w:pPr>
              <w:spacing w:after="60" w:before="60" w:line="240" w:lineRule="auto"/>
            </w:pPr>
            <w:r>
              <w:rPr>
                <w:rFonts w:eastAsia="Noto Sans CJK SC"/>
                <w:b w:val="0"/>
                <w:sz w:val="18"/>
              </w:rPr>
              <w:t>3 步</w:t>
            </w:r>
          </w:p>
        </w:tc>
        <w:tc>
          <w:tcPr>
            <w:tcW w:type="dxa" w:w="1247"/>
            <w:vAlign w:val="center"/>
          </w:tcPr>
          <w:p>
            <w:pPr>
              <w:spacing w:after="60" w:before="60" w:line="240" w:lineRule="auto"/>
            </w:pPr>
            <w:r>
              <w:rPr>
                <w:rFonts w:eastAsia="Noto Sans CJK SC"/>
                <w:b w:val="0"/>
                <w:sz w:val="18"/>
              </w:rPr>
              <w:t>40</w:t>
            </w:r>
          </w:p>
        </w:tc>
        <w:tc>
          <w:tcPr>
            <w:tcW w:type="dxa" w:w="1531"/>
            <w:vAlign w:val="center"/>
          </w:tcPr>
          <w:p>
            <w:pPr>
              <w:spacing w:after="60" w:before="60" w:line="240" w:lineRule="auto"/>
            </w:pPr>
            <w:r>
              <w:rPr>
                <w:rFonts w:eastAsia="Noto Sans CJK SC"/>
                <w:b w:val="0"/>
                <w:sz w:val="18"/>
              </w:rPr>
              <w:t>19</w:t>
            </w:r>
          </w:p>
        </w:tc>
        <w:tc>
          <w:tcPr>
            <w:tcW w:type="dxa" w:w="1984"/>
            <w:vAlign w:val="center"/>
          </w:tcPr>
          <w:p>
            <w:pPr>
              <w:spacing w:after="60" w:before="60" w:line="240" w:lineRule="auto"/>
            </w:pPr>
            <w:r>
              <w:rPr>
                <w:rFonts w:eastAsia="Noto Sans CJK SC"/>
                <w:b w:val="0"/>
                <w:sz w:val="18"/>
              </w:rPr>
              <w:t>23</w:t>
            </w:r>
          </w:p>
        </w:tc>
        <w:tc>
          <w:tcPr>
            <w:tcW w:type="dxa" w:w="2608"/>
            <w:vAlign w:val="center"/>
          </w:tcPr>
          <w:p>
            <w:pPr>
              <w:spacing w:after="60" w:before="60" w:line="240" w:lineRule="auto"/>
            </w:pPr>
            <w:r>
              <w:rPr>
                <w:rFonts w:eastAsia="Noto Sans CJK SC"/>
                <w:b w:val="0"/>
                <w:sz w:val="18"/>
              </w:rPr>
              <w:t>+10.00 个百分点</w:t>
            </w:r>
          </w:p>
        </w:tc>
      </w:tr>
      <w:tr>
        <w:trPr>
          <w:cantSplit/>
        </w:trPr>
        <w:tc>
          <w:tcPr>
            <w:tcW w:type="dxa" w:w="2154"/>
            <w:vAlign w:val="center"/>
          </w:tcPr>
          <w:p>
            <w:pPr>
              <w:spacing w:after="60" w:before="60" w:line="240" w:lineRule="auto"/>
            </w:pPr>
            <w:r>
              <w:rPr>
                <w:rFonts w:eastAsia="Noto Sans CJK SC"/>
                <w:b w:val="0"/>
                <w:sz w:val="18"/>
              </w:rPr>
              <w:t>至少 4 步</w:t>
            </w:r>
          </w:p>
        </w:tc>
        <w:tc>
          <w:tcPr>
            <w:tcW w:type="dxa" w:w="1247"/>
            <w:vAlign w:val="center"/>
          </w:tcPr>
          <w:p>
            <w:pPr>
              <w:spacing w:after="60" w:before="60" w:line="240" w:lineRule="auto"/>
            </w:pPr>
            <w:r>
              <w:rPr>
                <w:rFonts w:eastAsia="Noto Sans CJK SC"/>
                <w:b w:val="0"/>
                <w:sz w:val="18"/>
              </w:rPr>
              <w:t>24</w:t>
            </w:r>
          </w:p>
        </w:tc>
        <w:tc>
          <w:tcPr>
            <w:tcW w:type="dxa" w:w="1531"/>
            <w:vAlign w:val="center"/>
          </w:tcPr>
          <w:p>
            <w:pPr>
              <w:spacing w:after="60" w:before="60" w:line="240" w:lineRule="auto"/>
            </w:pPr>
            <w:r>
              <w:rPr>
                <w:rFonts w:eastAsia="Noto Sans CJK SC"/>
                <w:b w:val="0"/>
                <w:sz w:val="18"/>
              </w:rPr>
              <w:t>2</w:t>
            </w:r>
          </w:p>
        </w:tc>
        <w:tc>
          <w:tcPr>
            <w:tcW w:type="dxa" w:w="1984"/>
            <w:vAlign w:val="center"/>
          </w:tcPr>
          <w:p>
            <w:pPr>
              <w:spacing w:after="60" w:before="60" w:line="240" w:lineRule="auto"/>
            </w:pPr>
            <w:r>
              <w:rPr>
                <w:rFonts w:eastAsia="Noto Sans CJK SC"/>
                <w:b w:val="0"/>
                <w:sz w:val="18"/>
              </w:rPr>
              <w:t>7</w:t>
            </w:r>
          </w:p>
        </w:tc>
        <w:tc>
          <w:tcPr>
            <w:tcW w:type="dxa" w:w="2608"/>
            <w:vAlign w:val="center"/>
          </w:tcPr>
          <w:p>
            <w:pPr>
              <w:spacing w:after="60" w:before="60" w:line="240" w:lineRule="auto"/>
            </w:pPr>
            <w:r>
              <w:rPr>
                <w:rFonts w:eastAsia="Noto Sans CJK SC"/>
                <w:b w:val="0"/>
                <w:sz w:val="18"/>
              </w:rPr>
              <w:t>+20.83 个百分点</w:t>
            </w:r>
          </w:p>
        </w:tc>
      </w:tr>
    </w:tbl>
    <w:p>
      <w:pPr>
        <w:pStyle w:val="BodyText"/>
      </w:pPr>
      <w:r>
        <w:t xml:space="preserve">低复杂度任务可能不需要额外接口，而复杂推理可能受益于显式中间步骤。但此分层文件没有逐任务标识，样本数也与前表配对集合不同；高复杂度仅 24 条，并混合领域及输入条件。故这一趋势只支持探索性解释，不能宣称复杂度与收益存在已确证的单调因果关系，也不能把金标准程序复杂度用于声称已实现的在线分解决策。</w:t>
      </w:r>
    </w:p>
    <w:p>
      <w:pPr>
        <w:pStyle w:val="BodyText"/>
      </w:pPr>
      <w:r>
        <w:t xml:space="preserve">结构质量分析进一步比较覆盖、依赖有效性、可执行性与原子性。在 100 条分析记录中，最终正确为 9 条。[E06]</w:t>
      </w:r>
    </w:p>
    <w:p>
      <w:pPr>
        <w:pStyle w:val="BodyText"/>
        <w:keepNext/>
        <w:spacing w:before="160"/>
      </w:pPr>
      <w:r>
        <w:t xml:space="preserve">表 5-6 结构指标与最终正确性关联</w:t>
      </w:r>
    </w:p>
    <w:tbl>
      <w:tblPr>
        <w:tblStyle w:val="TableGrid"/>
        <w:tblW w:type="dxa" w:w="9524"/>
        <w:tblLayout w:type="fixed"/>
        <w:tblLook w:firstColumn="1" w:firstRow="1" w:lastColumn="0" w:lastRow="0" w:noHBand="0" w:noVBand="1" w:val="04A0"/>
      </w:tblPr>
      <w:tblGrid>
        <w:gridCol w:w="2381"/>
        <w:gridCol w:w="2835"/>
        <w:gridCol w:w="4309"/>
      </w:tblGrid>
      <w:tr>
        <w:trPr>
          <w:cantSplit/>
          <w:tblHeader/>
        </w:trPr>
        <w:tc>
          <w:tcPr>
            <w:tcW w:type="dxa" w:w="2381"/>
            <w:vAlign w:val="center"/>
            <w:shd w:fill="E8EDF2"/>
          </w:tcPr>
          <w:p>
            <w:pPr>
              <w:spacing w:after="60" w:before="60" w:line="240" w:lineRule="auto"/>
            </w:pPr>
            <w:r>
              <w:rPr>
                <w:rFonts w:eastAsia="Noto Sans CJK SC"/>
                <w:b/>
                <w:sz w:val="18"/>
              </w:rPr>
              <w:t>指标</w:t>
            </w:r>
          </w:p>
        </w:tc>
        <w:tc>
          <w:tcPr>
            <w:tcW w:type="dxa" w:w="2835"/>
            <w:vAlign w:val="center"/>
            <w:shd w:fill="E8EDF2"/>
          </w:tcPr>
          <w:p>
            <w:pPr>
              <w:spacing w:after="60" w:before="60" w:line="240" w:lineRule="auto"/>
            </w:pPr>
            <w:r>
              <w:rPr>
                <w:rFonts w:eastAsia="Noto Sans CJK SC"/>
                <w:b/>
                <w:sz w:val="18"/>
              </w:rPr>
              <w:t>与最终正确性的相关系数</w:t>
            </w:r>
          </w:p>
        </w:tc>
        <w:tc>
          <w:tcPr>
            <w:tcW w:type="dxa" w:w="4309"/>
            <w:vAlign w:val="center"/>
            <w:shd w:fill="E8EDF2"/>
          </w:tcPr>
          <w:p>
            <w:pPr>
              <w:spacing w:after="60" w:before="60" w:line="240" w:lineRule="auto"/>
            </w:pPr>
            <w:r>
              <w:rPr>
                <w:rFonts w:eastAsia="Noto Sans CJK SC"/>
                <w:b/>
                <w:sz w:val="18"/>
              </w:rPr>
              <w:t>解释范围</w:t>
            </w:r>
          </w:p>
        </w:tc>
      </w:tr>
      <w:tr>
        <w:trPr>
          <w:cantSplit/>
        </w:trPr>
        <w:tc>
          <w:tcPr>
            <w:tcW w:type="dxa" w:w="2381"/>
            <w:vAlign w:val="center"/>
          </w:tcPr>
          <w:p>
            <w:pPr>
              <w:spacing w:after="60" w:before="60" w:line="240" w:lineRule="auto"/>
            </w:pPr>
            <w:r>
              <w:rPr>
                <w:rFonts w:eastAsia="Noto Sans CJK SC"/>
                <w:b w:val="0"/>
                <w:sz w:val="18"/>
              </w:rPr>
              <w:t>覆盖</w:t>
            </w:r>
          </w:p>
        </w:tc>
        <w:tc>
          <w:tcPr>
            <w:tcW w:type="dxa" w:w="2835"/>
            <w:vAlign w:val="center"/>
          </w:tcPr>
          <w:p>
            <w:pPr>
              <w:spacing w:after="60" w:before="60" w:line="240" w:lineRule="auto"/>
            </w:pPr>
            <w:r>
              <w:rPr>
                <w:rFonts w:eastAsia="Noto Sans CJK SC"/>
                <w:b w:val="0"/>
                <w:sz w:val="18"/>
              </w:rPr>
              <w:t>0.377</w:t>
            </w:r>
          </w:p>
        </w:tc>
        <w:tc>
          <w:tcPr>
            <w:tcW w:type="dxa" w:w="4309"/>
            <w:vAlign w:val="center"/>
          </w:tcPr>
          <w:p>
            <w:pPr>
              <w:spacing w:after="60" w:before="60" w:line="240" w:lineRule="auto"/>
            </w:pPr>
            <w:r>
              <w:rPr>
                <w:rFonts w:eastAsia="Noto Sans CJK SC"/>
                <w:b w:val="0"/>
                <w:sz w:val="18"/>
              </w:rPr>
              <w:t>很大程度受所需事实是否存在影响</w:t>
            </w:r>
          </w:p>
        </w:tc>
      </w:tr>
      <w:tr>
        <w:trPr>
          <w:cantSplit/>
        </w:trPr>
        <w:tc>
          <w:tcPr>
            <w:tcW w:type="dxa" w:w="2381"/>
            <w:vAlign w:val="center"/>
          </w:tcPr>
          <w:p>
            <w:pPr>
              <w:spacing w:after="60" w:before="60" w:line="240" w:lineRule="auto"/>
            </w:pPr>
            <w:r>
              <w:rPr>
                <w:rFonts w:eastAsia="Noto Sans CJK SC"/>
                <w:b w:val="0"/>
                <w:sz w:val="18"/>
              </w:rPr>
              <w:t>依赖有效性</w:t>
            </w:r>
          </w:p>
        </w:tc>
        <w:tc>
          <w:tcPr>
            <w:tcW w:type="dxa" w:w="2835"/>
            <w:vAlign w:val="center"/>
          </w:tcPr>
          <w:p>
            <w:pPr>
              <w:spacing w:after="60" w:before="60" w:line="240" w:lineRule="auto"/>
            </w:pPr>
            <w:r>
              <w:rPr>
                <w:rFonts w:eastAsia="Noto Sans CJK SC"/>
                <w:b w:val="0"/>
                <w:sz w:val="18"/>
              </w:rPr>
              <w:t>0.290</w:t>
            </w:r>
          </w:p>
        </w:tc>
        <w:tc>
          <w:tcPr>
            <w:tcW w:type="dxa" w:w="4309"/>
            <w:vAlign w:val="center"/>
          </w:tcPr>
          <w:p>
            <w:pPr>
              <w:spacing w:after="60" w:before="60" w:line="240" w:lineRule="auto"/>
            </w:pPr>
            <w:r>
              <w:rPr>
                <w:rFonts w:eastAsia="Noto Sans CJK SC"/>
                <w:b w:val="0"/>
                <w:sz w:val="18"/>
              </w:rPr>
              <w:t>反映中间引用和结果连接是否成立</w:t>
            </w:r>
          </w:p>
        </w:tc>
      </w:tr>
      <w:tr>
        <w:trPr>
          <w:cantSplit/>
        </w:trPr>
        <w:tc>
          <w:tcPr>
            <w:tcW w:type="dxa" w:w="2381"/>
            <w:vAlign w:val="center"/>
          </w:tcPr>
          <w:p>
            <w:pPr>
              <w:spacing w:after="60" w:before="60" w:line="240" w:lineRule="auto"/>
            </w:pPr>
            <w:r>
              <w:rPr>
                <w:rFonts w:eastAsia="Noto Sans CJK SC"/>
                <w:b w:val="0"/>
                <w:sz w:val="18"/>
              </w:rPr>
              <w:t>可执行性</w:t>
            </w:r>
          </w:p>
        </w:tc>
        <w:tc>
          <w:tcPr>
            <w:tcW w:type="dxa" w:w="2835"/>
            <w:vAlign w:val="center"/>
          </w:tcPr>
          <w:p>
            <w:pPr>
              <w:spacing w:after="60" w:before="60" w:line="240" w:lineRule="auto"/>
            </w:pPr>
            <w:r>
              <w:rPr>
                <w:rFonts w:eastAsia="Noto Sans CJK SC"/>
                <w:b w:val="0"/>
                <w:sz w:val="18"/>
              </w:rPr>
              <w:t>0.281</w:t>
            </w:r>
          </w:p>
        </w:tc>
        <w:tc>
          <w:tcPr>
            <w:tcW w:type="dxa" w:w="4309"/>
            <w:vAlign w:val="center"/>
          </w:tcPr>
          <w:p>
            <w:pPr>
              <w:spacing w:after="60" w:before="60" w:line="240" w:lineRule="auto"/>
            </w:pPr>
            <w:r>
              <w:rPr>
                <w:rFonts w:eastAsia="Noto Sans CJK SC"/>
                <w:b w:val="0"/>
                <w:sz w:val="18"/>
              </w:rPr>
              <w:t>反映表达式或局部流程可否执行</w:t>
            </w:r>
          </w:p>
        </w:tc>
      </w:tr>
      <w:tr>
        <w:trPr>
          <w:cantSplit/>
        </w:trPr>
        <w:tc>
          <w:tcPr>
            <w:tcW w:type="dxa" w:w="2381"/>
            <w:vAlign w:val="center"/>
          </w:tcPr>
          <w:p>
            <w:pPr>
              <w:spacing w:after="60" w:before="60" w:line="240" w:lineRule="auto"/>
            </w:pPr>
            <w:r>
              <w:rPr>
                <w:rFonts w:eastAsia="Noto Sans CJK SC"/>
                <w:b w:val="0"/>
                <w:sz w:val="18"/>
              </w:rPr>
              <w:t>原子性</w:t>
            </w:r>
          </w:p>
        </w:tc>
        <w:tc>
          <w:tcPr>
            <w:tcW w:type="dxa" w:w="2835"/>
            <w:vAlign w:val="center"/>
          </w:tcPr>
          <w:p>
            <w:pPr>
              <w:spacing w:after="60" w:before="60" w:line="240" w:lineRule="auto"/>
            </w:pPr>
            <w:r>
              <w:rPr>
                <w:rFonts w:eastAsia="Noto Sans CJK SC"/>
                <w:b w:val="0"/>
                <w:sz w:val="18"/>
              </w:rPr>
              <w:t>0.078</w:t>
            </w:r>
          </w:p>
        </w:tc>
        <w:tc>
          <w:tcPr>
            <w:tcW w:type="dxa" w:w="4309"/>
            <w:vAlign w:val="center"/>
          </w:tcPr>
          <w:p>
            <w:pPr>
              <w:spacing w:after="60" w:before="60" w:line="240" w:lineRule="auto"/>
            </w:pPr>
            <w:r>
              <w:rPr>
                <w:rFonts w:eastAsia="Noto Sans CJK SC"/>
                <w:b w:val="0"/>
                <w:sz w:val="18"/>
              </w:rPr>
              <w:t>当前指标与正确性关联较弱</w:t>
            </w:r>
          </w:p>
        </w:tc>
      </w:tr>
    </w:tbl>
    <w:p>
      <w:pPr>
        <w:pStyle w:val="BodyText"/>
      </w:pPr>
      <w:r>
        <w:t xml:space="preserve">覆盖关联最高，却不能等同于分解算法质量：如果上游事实已经缺失，再清晰的子图也可能无法恢复答案。相关性本身不证明因果。由此，分解收益应与证据条件、领域结构和执行接口共同解释。</w:t>
      </w:r>
    </w:p>
    <w:p>
      <w:pPr>
        <w:pStyle w:val="Heading3"/>
      </w:pPr>
      <w:bookmarkStart w:id="56" w:name="反馈学习与失败判据审计"/>
      <w:r>
        <w:t xml:space="preserve">5.4 反馈学习与失败判据审计</w:t>
      </w:r>
      <w:bookmarkEnd w:id="56"/>
    </w:p>
    <w:p>
      <w:pPr>
        <w:pStyle w:val="FirstParagraph"/>
      </w:pPr>
      <w:r>
        <w:t xml:space="preserve">反馈实验首先检验历史执行信息能否改变后续选择。在条件化节点输出上，静态节点路由、初始反馈版本与状态感知版本使用相同基础候选记录。[E07]</w:t>
      </w:r>
    </w:p>
    <w:p>
      <w:pPr>
        <w:pStyle w:val="BodyText"/>
        <w:keepNext/>
        <w:spacing w:before="160"/>
      </w:pPr>
      <w:r>
        <w:t xml:space="preserve">表 5-7 条件化反馈回放结果</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策略</w:t>
            </w:r>
          </w:p>
        </w:tc>
        <w:tc>
          <w:tcPr>
            <w:tcW w:type="dxa" w:w="1701"/>
            <w:vAlign w:val="center"/>
            <w:shd w:fill="E8EDF2"/>
          </w:tcPr>
          <w:p>
            <w:pPr>
              <w:spacing w:after="60" w:before="60" w:line="240" w:lineRule="auto"/>
            </w:pPr>
            <w:r>
              <w:rPr>
                <w:rFonts w:eastAsia="Noto Sans CJK SC"/>
                <w:b/>
                <w:sz w:val="18"/>
              </w:rPr>
              <w:t>新版节点质量</w:t>
            </w:r>
          </w:p>
        </w:tc>
        <w:tc>
          <w:tcPr>
            <w:tcW w:type="dxa" w:w="2665"/>
            <w:vAlign w:val="center"/>
            <w:shd w:fill="E8EDF2"/>
          </w:tcPr>
          <w:p>
            <w:pPr>
              <w:spacing w:after="60" w:before="60" w:line="240" w:lineRule="auto"/>
            </w:pPr>
            <w:r>
              <w:rPr>
                <w:rFonts w:eastAsia="Noto Sans CJK SC"/>
                <w:b/>
                <w:sz w:val="18"/>
              </w:rPr>
              <w:t>相对静态差异</w:t>
            </w:r>
          </w:p>
        </w:tc>
        <w:tc>
          <w:tcPr>
            <w:tcW w:type="dxa" w:w="2891"/>
            <w:vAlign w:val="center"/>
            <w:shd w:fill="E8EDF2"/>
          </w:tcPr>
          <w:p>
            <w:pPr>
              <w:spacing w:after="60" w:before="60" w:line="240" w:lineRule="auto"/>
            </w:pPr>
            <w:r>
              <w:rPr>
                <w:rFonts w:eastAsia="Noto Sans CJK SC"/>
                <w:b/>
                <w:sz w:val="18"/>
              </w:rPr>
              <w:t>调用倍率</w:t>
            </w:r>
          </w:p>
        </w:tc>
      </w:tr>
      <w:tr>
        <w:trPr>
          <w:cantSplit/>
        </w:trPr>
        <w:tc>
          <w:tcPr>
            <w:tcW w:type="dxa" w:w="2268"/>
            <w:vAlign w:val="center"/>
          </w:tcPr>
          <w:p>
            <w:pPr>
              <w:spacing w:after="60" w:before="60" w:line="240" w:lineRule="auto"/>
            </w:pPr>
            <w:r>
              <w:rPr>
                <w:rFonts w:eastAsia="Noto Sans CJK SC"/>
                <w:b w:val="0"/>
                <w:sz w:val="18"/>
              </w:rPr>
              <w:t>静态节点路由</w:t>
            </w:r>
          </w:p>
        </w:tc>
        <w:tc>
          <w:tcPr>
            <w:tcW w:type="dxa" w:w="1701"/>
            <w:vAlign w:val="center"/>
          </w:tcPr>
          <w:p>
            <w:pPr>
              <w:spacing w:after="60" w:before="60" w:line="240" w:lineRule="auto"/>
            </w:pPr>
            <w:r>
              <w:rPr>
                <w:rFonts w:eastAsia="Noto Sans CJK SC"/>
                <w:b w:val="0"/>
                <w:sz w:val="18"/>
              </w:rPr>
              <w:t>0.5355</w:t>
            </w:r>
          </w:p>
        </w:tc>
        <w:tc>
          <w:tcPr>
            <w:tcW w:type="dxa" w:w="2665"/>
            <w:vAlign w:val="center"/>
          </w:tcPr>
          <w:p>
            <w:pPr>
              <w:spacing w:after="60" w:before="60" w:line="240" w:lineRule="auto"/>
            </w:pPr>
            <w:r>
              <w:rPr>
                <w:rFonts w:eastAsia="Noto Sans CJK SC"/>
                <w:b w:val="0"/>
                <w:sz w:val="18"/>
              </w:rPr>
              <w:t>—</w:t>
            </w:r>
          </w:p>
        </w:tc>
        <w:tc>
          <w:tcPr>
            <w:tcW w:type="dxa" w:w="2891"/>
            <w:vAlign w:val="center"/>
          </w:tcPr>
          <w:p>
            <w:pPr>
              <w:spacing w:after="60" w:before="60" w:line="240" w:lineRule="auto"/>
            </w:pPr>
            <w:r>
              <w:rPr>
                <w:rFonts w:eastAsia="Noto Sans CJK SC"/>
                <w:b w:val="0"/>
                <w:sz w:val="18"/>
              </w:rPr>
              <w:t>1.000</w:t>
            </w:r>
          </w:p>
        </w:tc>
      </w:tr>
      <w:tr>
        <w:trPr>
          <w:cantSplit/>
        </w:trPr>
        <w:tc>
          <w:tcPr>
            <w:tcW w:type="dxa" w:w="2268"/>
            <w:vAlign w:val="center"/>
          </w:tcPr>
          <w:p>
            <w:pPr>
              <w:spacing w:after="60" w:before="60" w:line="240" w:lineRule="auto"/>
            </w:pPr>
            <w:r>
              <w:rPr>
                <w:rFonts w:eastAsia="Noto Sans CJK SC"/>
                <w:b w:val="0"/>
                <w:sz w:val="18"/>
              </w:rPr>
              <w:t>初始反馈版本</w:t>
            </w:r>
          </w:p>
        </w:tc>
        <w:tc>
          <w:tcPr>
            <w:tcW w:type="dxa" w:w="1701"/>
            <w:vAlign w:val="center"/>
          </w:tcPr>
          <w:p>
            <w:pPr>
              <w:spacing w:after="60" w:before="60" w:line="240" w:lineRule="auto"/>
            </w:pPr>
            <w:r>
              <w:rPr>
                <w:rFonts w:eastAsia="Noto Sans CJK SC"/>
                <w:b w:val="0"/>
                <w:sz w:val="18"/>
              </w:rPr>
              <w:t>0.5355</w:t>
            </w:r>
          </w:p>
        </w:tc>
        <w:tc>
          <w:tcPr>
            <w:tcW w:type="dxa" w:w="2665"/>
            <w:vAlign w:val="center"/>
          </w:tcPr>
          <w:p>
            <w:pPr>
              <w:spacing w:after="60" w:before="60" w:line="240" w:lineRule="auto"/>
            </w:pPr>
            <w:r>
              <w:rPr>
                <w:rFonts w:eastAsia="Noto Sans CJK SC"/>
                <w:b w:val="0"/>
                <w:sz w:val="18"/>
              </w:rPr>
              <w:t>0</w:t>
            </w:r>
          </w:p>
        </w:tc>
        <w:tc>
          <w:tcPr>
            <w:tcW w:type="dxa" w:w="2891"/>
            <w:vAlign w:val="center"/>
          </w:tcPr>
          <w:p>
            <w:pPr>
              <w:spacing w:after="60" w:before="60" w:line="240" w:lineRule="auto"/>
            </w:pPr>
            <w:r>
              <w:rPr>
                <w:rFonts w:eastAsia="Noto Sans CJK SC"/>
                <w:b w:val="0"/>
                <w:sz w:val="18"/>
              </w:rPr>
              <w:t>本表不单独解释</w:t>
            </w:r>
          </w:p>
        </w:tc>
      </w:tr>
      <w:tr>
        <w:trPr>
          <w:cantSplit/>
        </w:trPr>
        <w:tc>
          <w:tcPr>
            <w:tcW w:type="dxa" w:w="2268"/>
            <w:vAlign w:val="center"/>
          </w:tcPr>
          <w:p>
            <w:pPr>
              <w:spacing w:after="60" w:before="60" w:line="240" w:lineRule="auto"/>
            </w:pPr>
            <w:r>
              <w:rPr>
                <w:rFonts w:eastAsia="Noto Sans CJK SC"/>
                <w:b w:val="0"/>
                <w:sz w:val="18"/>
              </w:rPr>
              <w:t>状态感知反馈版本</w:t>
            </w:r>
          </w:p>
        </w:tc>
        <w:tc>
          <w:tcPr>
            <w:tcW w:type="dxa" w:w="1701"/>
            <w:vAlign w:val="center"/>
          </w:tcPr>
          <w:p>
            <w:pPr>
              <w:spacing w:after="60" w:before="60" w:line="240" w:lineRule="auto"/>
            </w:pPr>
            <w:r>
              <w:rPr>
                <w:rFonts w:eastAsia="Noto Sans CJK SC"/>
                <w:b w:val="0"/>
                <w:sz w:val="18"/>
              </w:rPr>
              <w:t>0.5822</w:t>
            </w:r>
          </w:p>
        </w:tc>
        <w:tc>
          <w:tcPr>
            <w:tcW w:type="dxa" w:w="2665"/>
            <w:vAlign w:val="center"/>
          </w:tcPr>
          <w:p>
            <w:pPr>
              <w:spacing w:after="60" w:before="60" w:line="240" w:lineRule="auto"/>
            </w:pPr>
            <w:r>
              <w:rPr>
                <w:rFonts w:eastAsia="Noto Sans CJK SC"/>
                <w:b w:val="0"/>
                <w:sz w:val="18"/>
              </w:rPr>
              <w:t>+4.67 个百分点</w:t>
            </w:r>
          </w:p>
        </w:tc>
        <w:tc>
          <w:tcPr>
            <w:tcW w:type="dxa" w:w="2891"/>
            <w:vAlign w:val="center"/>
          </w:tcPr>
          <w:p>
            <w:pPr>
              <w:spacing w:after="60" w:before="60" w:line="240" w:lineRule="auto"/>
            </w:pPr>
            <w:r>
              <w:rPr>
                <w:rFonts w:eastAsia="Noto Sans CJK SC"/>
                <w:b w:val="0"/>
                <w:sz w:val="18"/>
              </w:rPr>
              <w:t>1.460</w:t>
            </w:r>
          </w:p>
        </w:tc>
      </w:tr>
    </w:tbl>
    <w:p>
      <w:pPr>
        <w:pStyle w:val="BodyText"/>
      </w:pPr>
      <w:r>
        <w:t xml:space="preserve">原分析保存的任务聚类区间为 [2.6,6.8] 个百分点，指向正增益；它与本稿节点加权复核区间采用不同汇总细节，不能混用。该实验使用可评分结果构造反馈并允许恢复，既改变模型选择，也增加执行机会。因此结果支持反馈与恢复组合在理想化条件下的潜力，不能把全部提升归因于记忆学习，更不能直接当成真实传播任务成功率。</w:t>
      </w:r>
    </w:p>
    <w:p>
      <w:pPr>
        <w:pStyle w:val="BodyText"/>
      </w:pPr>
      <w:r>
        <w:t xml:space="preserve">随后对恢复候选做最终答案审计，检查</w:t>
      </w:r>
      <w:r>
        <w:t xml:space="preserve">“</w:t>
      </w:r>
      <w:r>
        <w:t xml:space="preserve">被标为失败的节点是否确实对应错误任务</w:t>
      </w:r>
      <w:r>
        <w:t xml:space="preserve">”</w:t>
      </w:r>
      <w:r>
        <w:t xml:space="preserve">。[E08]</w:t>
      </w:r>
    </w:p>
    <w:p>
      <w:pPr>
        <w:pStyle w:val="BodyText"/>
        <w:keepNext/>
        <w:spacing w:before="160"/>
      </w:pPr>
      <w:r>
        <w:t xml:space="preserve">表 5-8 失败候选的最终答案审计</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离线失败类型</w:t>
            </w:r>
          </w:p>
        </w:tc>
        <w:tc>
          <w:tcPr>
            <w:tcW w:type="dxa" w:w="1701"/>
            <w:vAlign w:val="center"/>
            <w:shd w:fill="E8EDF2"/>
          </w:tcPr>
          <w:p>
            <w:pPr>
              <w:spacing w:after="60" w:before="60" w:line="240" w:lineRule="auto"/>
            </w:pPr>
            <w:r>
              <w:rPr>
                <w:rFonts w:eastAsia="Noto Sans CJK SC"/>
                <w:b/>
                <w:sz w:val="18"/>
              </w:rPr>
              <w:t>原候选数</w:t>
            </w:r>
          </w:p>
        </w:tc>
        <w:tc>
          <w:tcPr>
            <w:tcW w:type="dxa" w:w="2665"/>
            <w:vAlign w:val="center"/>
            <w:shd w:fill="E8EDF2"/>
          </w:tcPr>
          <w:p>
            <w:pPr>
              <w:spacing w:after="60" w:before="60" w:line="240" w:lineRule="auto"/>
            </w:pPr>
            <w:r>
              <w:rPr>
                <w:rFonts w:eastAsia="Noto Sans CJK SC"/>
                <w:b/>
                <w:sz w:val="18"/>
              </w:rPr>
              <w:t>原最终答案已正确</w:t>
            </w:r>
          </w:p>
        </w:tc>
        <w:tc>
          <w:tcPr>
            <w:tcW w:type="dxa" w:w="2891"/>
            <w:vAlign w:val="center"/>
            <w:shd w:fill="E8EDF2"/>
          </w:tcPr>
          <w:p>
            <w:pPr>
              <w:spacing w:after="60" w:before="60" w:line="240" w:lineRule="auto"/>
            </w:pPr>
            <w:r>
              <w:rPr>
                <w:rFonts w:eastAsia="Noto Sans CJK SC"/>
                <w:b/>
                <w:sz w:val="18"/>
              </w:rPr>
              <w:t>原最终答案错误</w:t>
            </w:r>
          </w:p>
        </w:tc>
      </w:tr>
      <w:tr>
        <w:trPr>
          <w:cantSplit/>
        </w:trPr>
        <w:tc>
          <w:tcPr>
            <w:tcW w:type="dxa" w:w="2268"/>
            <w:vAlign w:val="center"/>
          </w:tcPr>
          <w:p>
            <w:pPr>
              <w:spacing w:after="60" w:before="60" w:line="240" w:lineRule="auto"/>
            </w:pPr>
            <w:r>
              <w:rPr>
                <w:rFonts w:eastAsia="Noto Sans CJK SC"/>
                <w:b w:val="0"/>
                <w:sz w:val="18"/>
              </w:rPr>
              <w:t>证据类</w:t>
            </w:r>
          </w:p>
        </w:tc>
        <w:tc>
          <w:tcPr>
            <w:tcW w:type="dxa" w:w="1701"/>
            <w:vAlign w:val="center"/>
          </w:tcPr>
          <w:p>
            <w:pPr>
              <w:spacing w:after="60" w:before="60" w:line="240" w:lineRule="auto"/>
            </w:pPr>
            <w:r>
              <w:rPr>
                <w:rFonts w:eastAsia="Noto Sans CJK SC"/>
                <w:b w:val="0"/>
                <w:sz w:val="18"/>
              </w:rPr>
              <w:t>61</w:t>
            </w:r>
          </w:p>
        </w:tc>
        <w:tc>
          <w:tcPr>
            <w:tcW w:type="dxa" w:w="2665"/>
            <w:vAlign w:val="center"/>
          </w:tcPr>
          <w:p>
            <w:pPr>
              <w:spacing w:after="60" w:before="60" w:line="240" w:lineRule="auto"/>
            </w:pPr>
            <w:r>
              <w:rPr>
                <w:rFonts w:eastAsia="Noto Sans CJK SC"/>
                <w:b w:val="0"/>
                <w:sz w:val="18"/>
              </w:rPr>
              <w:t>16</w:t>
            </w:r>
          </w:p>
        </w:tc>
        <w:tc>
          <w:tcPr>
            <w:tcW w:type="dxa" w:w="2891"/>
            <w:vAlign w:val="center"/>
          </w:tcPr>
          <w:p>
            <w:pPr>
              <w:spacing w:after="60" w:before="60" w:line="240" w:lineRule="auto"/>
            </w:pPr>
            <w:r>
              <w:rPr>
                <w:rFonts w:eastAsia="Noto Sans CJK SC"/>
                <w:b w:val="0"/>
                <w:sz w:val="18"/>
              </w:rPr>
              <w:t>45</w:t>
            </w:r>
          </w:p>
        </w:tc>
      </w:tr>
      <w:tr>
        <w:trPr>
          <w:cantSplit/>
        </w:trPr>
        <w:tc>
          <w:tcPr>
            <w:tcW w:type="dxa" w:w="2268"/>
            <w:vAlign w:val="center"/>
          </w:tcPr>
          <w:p>
            <w:pPr>
              <w:spacing w:after="60" w:before="60" w:line="240" w:lineRule="auto"/>
            </w:pPr>
            <w:r>
              <w:rPr>
                <w:rFonts w:eastAsia="Noto Sans CJK SC"/>
                <w:b w:val="0"/>
                <w:sz w:val="18"/>
              </w:rPr>
              <w:t>推理类</w:t>
            </w:r>
          </w:p>
        </w:tc>
        <w:tc>
          <w:tcPr>
            <w:tcW w:type="dxa" w:w="1701"/>
            <w:vAlign w:val="center"/>
          </w:tcPr>
          <w:p>
            <w:pPr>
              <w:spacing w:after="60" w:before="60" w:line="240" w:lineRule="auto"/>
            </w:pPr>
            <w:r>
              <w:rPr>
                <w:rFonts w:eastAsia="Noto Sans CJK SC"/>
                <w:b w:val="0"/>
                <w:sz w:val="18"/>
              </w:rPr>
              <w:t>61</w:t>
            </w:r>
          </w:p>
        </w:tc>
        <w:tc>
          <w:tcPr>
            <w:tcW w:type="dxa" w:w="2665"/>
            <w:vAlign w:val="center"/>
          </w:tcPr>
          <w:p>
            <w:pPr>
              <w:spacing w:after="60" w:before="60" w:line="240" w:lineRule="auto"/>
            </w:pPr>
            <w:r>
              <w:rPr>
                <w:rFonts w:eastAsia="Noto Sans CJK SC"/>
                <w:b w:val="0"/>
                <w:sz w:val="18"/>
              </w:rPr>
              <w:t>13</w:t>
            </w:r>
          </w:p>
        </w:tc>
        <w:tc>
          <w:tcPr>
            <w:tcW w:type="dxa" w:w="2891"/>
            <w:vAlign w:val="center"/>
          </w:tcPr>
          <w:p>
            <w:pPr>
              <w:spacing w:after="60" w:before="60" w:line="240" w:lineRule="auto"/>
            </w:pPr>
            <w:r>
              <w:rPr>
                <w:rFonts w:eastAsia="Noto Sans CJK SC"/>
                <w:b w:val="0"/>
                <w:sz w:val="18"/>
              </w:rPr>
              <w:t>48</w:t>
            </w:r>
          </w:p>
        </w:tc>
      </w:tr>
      <w:tr>
        <w:trPr>
          <w:cantSplit/>
        </w:trPr>
        <w:tc>
          <w:tcPr>
            <w:tcW w:type="dxa" w:w="2268"/>
            <w:vAlign w:val="center"/>
          </w:tcPr>
          <w:p>
            <w:pPr>
              <w:spacing w:after="60" w:before="60" w:line="240" w:lineRule="auto"/>
            </w:pPr>
            <w:r>
              <w:rPr>
                <w:rFonts w:eastAsia="Noto Sans CJK SC"/>
                <w:b w:val="0"/>
                <w:sz w:val="18"/>
              </w:rPr>
              <w:t>结构类</w:t>
            </w:r>
          </w:p>
        </w:tc>
        <w:tc>
          <w:tcPr>
            <w:tcW w:type="dxa" w:w="1701"/>
            <w:vAlign w:val="center"/>
          </w:tcPr>
          <w:p>
            <w:pPr>
              <w:spacing w:after="60" w:before="60" w:line="240" w:lineRule="auto"/>
            </w:pPr>
            <w:r>
              <w:rPr>
                <w:rFonts w:eastAsia="Noto Sans CJK SC"/>
                <w:b w:val="0"/>
                <w:sz w:val="18"/>
              </w:rPr>
              <w:t>26</w:t>
            </w:r>
          </w:p>
        </w:tc>
        <w:tc>
          <w:tcPr>
            <w:tcW w:type="dxa" w:w="2665"/>
            <w:vAlign w:val="center"/>
          </w:tcPr>
          <w:p>
            <w:pPr>
              <w:spacing w:after="60" w:before="60" w:line="240" w:lineRule="auto"/>
            </w:pPr>
            <w:r>
              <w:rPr>
                <w:rFonts w:eastAsia="Noto Sans CJK SC"/>
                <w:b w:val="0"/>
                <w:sz w:val="18"/>
              </w:rPr>
              <w:t>3</w:t>
            </w:r>
          </w:p>
        </w:tc>
        <w:tc>
          <w:tcPr>
            <w:tcW w:type="dxa" w:w="2891"/>
            <w:vAlign w:val="center"/>
          </w:tcPr>
          <w:p>
            <w:pPr>
              <w:spacing w:after="60" w:before="60" w:line="240" w:lineRule="auto"/>
            </w:pPr>
            <w:r>
              <w:rPr>
                <w:rFonts w:eastAsia="Noto Sans CJK SC"/>
                <w:b w:val="0"/>
                <w:sz w:val="18"/>
              </w:rPr>
              <w:t>23</w:t>
            </w:r>
          </w:p>
        </w:tc>
      </w:tr>
      <w:tr>
        <w:trPr>
          <w:cantSplit/>
        </w:trPr>
        <w:tc>
          <w:tcPr>
            <w:tcW w:type="dxa" w:w="2268"/>
            <w:vAlign w:val="center"/>
          </w:tcPr>
          <w:p>
            <w:pPr>
              <w:spacing w:after="60" w:before="60" w:line="240" w:lineRule="auto"/>
            </w:pPr>
            <w:r>
              <w:rPr>
                <w:rFonts w:eastAsia="Noto Sans CJK SC"/>
                <w:b w:val="0"/>
                <w:sz w:val="18"/>
              </w:rPr>
              <w:t>合计</w:t>
            </w:r>
          </w:p>
        </w:tc>
        <w:tc>
          <w:tcPr>
            <w:tcW w:type="dxa" w:w="1701"/>
            <w:vAlign w:val="center"/>
          </w:tcPr>
          <w:p>
            <w:pPr>
              <w:spacing w:after="60" w:before="60" w:line="240" w:lineRule="auto"/>
            </w:pPr>
            <w:r>
              <w:rPr>
                <w:rFonts w:eastAsia="Noto Sans CJK SC"/>
                <w:b w:val="0"/>
                <w:sz w:val="18"/>
              </w:rPr>
              <w:t>148</w:t>
            </w:r>
          </w:p>
        </w:tc>
        <w:tc>
          <w:tcPr>
            <w:tcW w:type="dxa" w:w="2665"/>
            <w:vAlign w:val="center"/>
          </w:tcPr>
          <w:p>
            <w:pPr>
              <w:spacing w:after="60" w:before="60" w:line="240" w:lineRule="auto"/>
            </w:pPr>
            <w:r>
              <w:rPr>
                <w:rFonts w:eastAsia="Noto Sans CJK SC"/>
                <w:b w:val="0"/>
                <w:sz w:val="18"/>
              </w:rPr>
              <w:t>32</w:t>
            </w:r>
          </w:p>
        </w:tc>
        <w:tc>
          <w:tcPr>
            <w:tcW w:type="dxa" w:w="2891"/>
            <w:vAlign w:val="center"/>
          </w:tcPr>
          <w:p>
            <w:pPr>
              <w:spacing w:after="60" w:before="60" w:line="240" w:lineRule="auto"/>
            </w:pPr>
            <w:r>
              <w:rPr>
                <w:rFonts w:eastAsia="Noto Sans CJK SC"/>
                <w:b w:val="0"/>
                <w:sz w:val="18"/>
              </w:rPr>
              <w:t>116</w:t>
            </w:r>
          </w:p>
        </w:tc>
      </w:tr>
    </w:tbl>
    <w:p>
      <w:pPr>
        <w:pStyle w:val="BodyText"/>
      </w:pPr>
      <w:r>
        <w:t xml:space="preserve">32/148 个候选的原最终答案已经正确。原记录中 34 个</w:t>
      </w:r>
      <w:r>
        <w:t xml:space="preserve">“</w:t>
      </w:r>
      <w:r>
        <w:t xml:space="preserve">重试成功</w:t>
      </w:r>
      <w:r>
        <w:t xml:space="preserve">”</w:t>
      </w:r>
      <w:r>
        <w:t xml:space="preserve">有 32 个落在这些样本上；剩余 2 个真正由错转对的案例来自提示发生变化的调用，不能作为同提示、零温度重试有效的证据。语义审计还发现，MultiHiertt 子集的 79 次重试均未保持原提示一致；TAT-QA 69 次保持提示一致，其中 66 次输出完全相同。[E09]</w:t>
      </w:r>
    </w:p>
    <w:p>
      <w:pPr>
        <w:pStyle w:val="BodyText"/>
      </w:pPr>
      <w:r>
        <w:t xml:space="preserve">历史分解结果也受到输入条件影响：可定位的 40 条记录在标准事实下成功 13 条，其中仅 1 条能在实际抽取事实下确认仍成立，4 条答案错误、2 条发生索引错误，另 6 条没有真实抽取记录，不能完成同条件重评。[E10] 本稿据此撤回</w:t>
      </w:r>
      <w:r>
        <w:t xml:space="preserve">“</w:t>
      </w:r>
      <w:r>
        <w:t xml:space="preserve">31.7% 端到端恢复率</w:t>
      </w:r>
      <w:r>
        <w:t xml:space="preserve">”</w:t>
      </w:r>
      <w:r>
        <w:t xml:space="preserve">的旧表述，保留事实条件对局部恢复的限制。</w:t>
      </w:r>
    </w:p>
    <w:p>
      <w:pPr>
        <w:pStyle w:val="BodyText"/>
      </w:pPr>
      <w:r>
        <w:t xml:space="preserve">本节结论是：反馈有利用执行经验的价值，但恢复评价必须先保证失败集合的语义一致。节点缺陷与最终任务失败分别有研究意义，却不能共用一个恢复分母。</w:t>
      </w:r>
    </w:p>
    <w:p>
      <w:pPr>
        <w:pStyle w:val="Heading3"/>
      </w:pPr>
      <w:bookmarkStart w:id="57" w:name="静态与动态依赖图比较"/>
      <w:r>
        <w:t xml:space="preserve">5.5 静态与动态依赖图比较</w:t>
      </w:r>
      <w:bookmarkEnd w:id="57"/>
    </w:p>
    <w:p>
      <w:pPr>
        <w:pStyle w:val="FirstParagraph"/>
      </w:pPr>
      <w:r>
        <w:t xml:space="preserve">本节直接检验后续策略调整相对固定后继计划的收益。首先报告 100 任务回放，再报告具有真实上游输入传播的 48 任务面板；两者不汇总。[E11—E13]</w:t>
      </w:r>
    </w:p>
    <w:p>
      <w:pPr>
        <w:pStyle w:val="BodyText"/>
        <w:keepNext/>
        <w:spacing w:before="160"/>
      </w:pPr>
      <w:r>
        <w:t xml:space="preserve">表 5-9 静态与动态回放比较</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回放方法</w:t>
            </w:r>
          </w:p>
        </w:tc>
        <w:tc>
          <w:tcPr>
            <w:tcW w:type="dxa" w:w="1701"/>
            <w:vAlign w:val="center"/>
            <w:shd w:fill="E8EDF2"/>
          </w:tcPr>
          <w:p>
            <w:pPr>
              <w:spacing w:after="60" w:before="60" w:line="240" w:lineRule="auto"/>
            </w:pPr>
            <w:r>
              <w:rPr>
                <w:rFonts w:eastAsia="Noto Sans CJK SC"/>
                <w:b/>
                <w:sz w:val="18"/>
              </w:rPr>
              <w:t>任务正确率</w:t>
            </w:r>
          </w:p>
        </w:tc>
        <w:tc>
          <w:tcPr>
            <w:tcW w:type="dxa" w:w="2665"/>
            <w:vAlign w:val="center"/>
            <w:shd w:fill="E8EDF2"/>
          </w:tcPr>
          <w:p>
            <w:pPr>
              <w:spacing w:after="60" w:before="60" w:line="240" w:lineRule="auto"/>
            </w:pPr>
            <w:r>
              <w:rPr>
                <w:rFonts w:eastAsia="Noto Sans CJK SC"/>
                <w:b/>
                <w:sz w:val="18"/>
              </w:rPr>
              <w:t>平均 tokens</w:t>
            </w:r>
          </w:p>
        </w:tc>
        <w:tc>
          <w:tcPr>
            <w:tcW w:type="dxa" w:w="2891"/>
            <w:vAlign w:val="center"/>
            <w:shd w:fill="E8EDF2"/>
          </w:tcPr>
          <w:p>
            <w:pPr>
              <w:spacing w:after="60" w:before="60" w:line="240" w:lineRule="auto"/>
            </w:pPr>
            <w:r>
              <w:rPr>
                <w:rFonts w:eastAsia="Noto Sans CJK SC"/>
                <w:b/>
                <w:sz w:val="18"/>
              </w:rPr>
              <w:t>服务时长估计（秒）</w:t>
            </w:r>
          </w:p>
        </w:tc>
      </w:tr>
      <w:tr>
        <w:trPr>
          <w:cantSplit/>
        </w:trPr>
        <w:tc>
          <w:tcPr>
            <w:tcW w:type="dxa" w:w="2268"/>
            <w:vAlign w:val="center"/>
          </w:tcPr>
          <w:p>
            <w:pPr>
              <w:spacing w:after="60" w:before="60" w:line="240" w:lineRule="auto"/>
            </w:pPr>
            <w:r>
              <w:rPr>
                <w:rFonts w:eastAsia="Noto Sans CJK SC"/>
                <w:b w:val="0"/>
                <w:sz w:val="18"/>
              </w:rPr>
              <w:t>静态、允许局部回退</w:t>
            </w:r>
          </w:p>
        </w:tc>
        <w:tc>
          <w:tcPr>
            <w:tcW w:type="dxa" w:w="1701"/>
            <w:vAlign w:val="center"/>
          </w:tcPr>
          <w:p>
            <w:pPr>
              <w:spacing w:after="60" w:before="60" w:line="240" w:lineRule="auto"/>
            </w:pPr>
            <w:r>
              <w:rPr>
                <w:rFonts w:eastAsia="Noto Sans CJK SC"/>
                <w:b w:val="0"/>
                <w:sz w:val="18"/>
              </w:rPr>
              <w:t>0.4100</w:t>
            </w:r>
          </w:p>
        </w:tc>
        <w:tc>
          <w:tcPr>
            <w:tcW w:type="dxa" w:w="2665"/>
            <w:vAlign w:val="center"/>
          </w:tcPr>
          <w:p>
            <w:pPr>
              <w:spacing w:after="60" w:before="60" w:line="240" w:lineRule="auto"/>
            </w:pPr>
            <w:r>
              <w:rPr>
                <w:rFonts w:eastAsia="Noto Sans CJK SC"/>
                <w:b w:val="0"/>
                <w:sz w:val="18"/>
              </w:rPr>
              <w:t>7,020.5</w:t>
            </w:r>
          </w:p>
        </w:tc>
        <w:tc>
          <w:tcPr>
            <w:tcW w:type="dxa" w:w="2891"/>
            <w:vAlign w:val="center"/>
          </w:tcPr>
          <w:p>
            <w:pPr>
              <w:spacing w:after="60" w:before="60" w:line="240" w:lineRule="auto"/>
            </w:pPr>
            <w:r>
              <w:rPr>
                <w:rFonts w:eastAsia="Noto Sans CJK SC"/>
                <w:b w:val="0"/>
                <w:sz w:val="18"/>
              </w:rPr>
              <w:t>12.807</w:t>
            </w:r>
          </w:p>
        </w:tc>
      </w:tr>
      <w:tr>
        <w:trPr>
          <w:cantSplit/>
        </w:trPr>
        <w:tc>
          <w:tcPr>
            <w:tcW w:type="dxa" w:w="2268"/>
            <w:vAlign w:val="center"/>
          </w:tcPr>
          <w:p>
            <w:pPr>
              <w:spacing w:after="60" w:before="60" w:line="240" w:lineRule="auto"/>
            </w:pPr>
            <w:r>
              <w:rPr>
                <w:rFonts w:eastAsia="Noto Sans CJK SC"/>
                <w:b w:val="0"/>
                <w:sz w:val="18"/>
              </w:rPr>
              <w:t>动态第一版</w:t>
            </w:r>
          </w:p>
        </w:tc>
        <w:tc>
          <w:tcPr>
            <w:tcW w:type="dxa" w:w="1701"/>
            <w:vAlign w:val="center"/>
          </w:tcPr>
          <w:p>
            <w:pPr>
              <w:spacing w:after="60" w:before="60" w:line="240" w:lineRule="auto"/>
            </w:pPr>
            <w:r>
              <w:rPr>
                <w:rFonts w:eastAsia="Noto Sans CJK SC"/>
                <w:b w:val="0"/>
                <w:sz w:val="18"/>
              </w:rPr>
              <w:t>0.4000</w:t>
            </w:r>
          </w:p>
        </w:tc>
        <w:tc>
          <w:tcPr>
            <w:tcW w:type="dxa" w:w="2665"/>
            <w:vAlign w:val="center"/>
          </w:tcPr>
          <w:p>
            <w:pPr>
              <w:spacing w:after="60" w:before="60" w:line="240" w:lineRule="auto"/>
            </w:pPr>
            <w:r>
              <w:rPr>
                <w:rFonts w:eastAsia="Noto Sans CJK SC"/>
                <w:b w:val="0"/>
                <w:sz w:val="18"/>
              </w:rPr>
              <w:t>7,034.6</w:t>
            </w:r>
          </w:p>
        </w:tc>
        <w:tc>
          <w:tcPr>
            <w:tcW w:type="dxa" w:w="2891"/>
            <w:vAlign w:val="center"/>
          </w:tcPr>
          <w:p>
            <w:pPr>
              <w:spacing w:after="60" w:before="60" w:line="240" w:lineRule="auto"/>
            </w:pPr>
            <w:r>
              <w:rPr>
                <w:rFonts w:eastAsia="Noto Sans CJK SC"/>
                <w:b w:val="0"/>
                <w:sz w:val="18"/>
              </w:rPr>
              <w:t>13.258</w:t>
            </w:r>
          </w:p>
        </w:tc>
      </w:tr>
    </w:tbl>
    <w:p>
      <w:pPr>
        <w:pStyle w:val="BodyText"/>
      </w:pPr>
      <w:r>
        <w:t xml:space="preserve">回放差异为 −1.00 个百分点，95% 区间 [−3.00,0.00]，差异不显著。它说明有反馈触发和后继选择并不足以保证收益，回放机制跑通也不能替代真实错误传播评价。</w:t>
      </w:r>
    </w:p>
    <w:p>
      <w:pPr>
        <w:pStyle w:val="BodyText"/>
      </w:pPr>
      <w:r>
        <w:t xml:space="preserve">48 任务实验的基础模型调用与中间事实真实执行，第二版复用相同静态前缀记录并新增分歧调用。失败检测和失败计数仍读取评价答案，预算依据静态策略最终实际消耗的 1.2 倍设置；该预算是对照实验口径，不是部署前可获得的先验预算。</w:t>
      </w:r>
    </w:p>
    <w:p>
      <w:pPr>
        <w:pStyle w:val="BodyText"/>
        <w:keepNext/>
        <w:spacing w:before="160"/>
      </w:pPr>
      <w:r>
        <w:t xml:space="preserve">表 5-10 已分析真实调用面板的策略比较</w:t>
      </w:r>
    </w:p>
    <w:tbl>
      <w:tblPr>
        <w:tblStyle w:val="TableGrid"/>
        <w:tblW w:type="dxa" w:w="9524"/>
        <w:tblLayout w:type="fixed"/>
        <w:tblLook w:firstColumn="1" w:firstRow="1" w:lastColumn="0" w:lastRow="0" w:noHBand="0" w:noVBand="1" w:val="04A0"/>
      </w:tblPr>
      <w:tblGrid>
        <w:gridCol w:w="1868"/>
        <w:gridCol w:w="840"/>
        <w:gridCol w:w="1058"/>
        <w:gridCol w:w="1152"/>
        <w:gridCol w:w="1307"/>
        <w:gridCol w:w="1245"/>
        <w:gridCol w:w="996"/>
        <w:gridCol w:w="1058"/>
      </w:tblGrid>
      <w:tr>
        <w:trPr>
          <w:cantSplit/>
          <w:tblHeader/>
        </w:trPr>
        <w:tc>
          <w:tcPr>
            <w:tcW w:type="dxa" w:w="1868"/>
            <w:vAlign w:val="center"/>
            <w:shd w:fill="E8EDF2"/>
          </w:tcPr>
          <w:p>
            <w:pPr>
              <w:spacing w:after="60" w:before="60" w:line="240" w:lineRule="auto"/>
            </w:pPr>
            <w:r>
              <w:rPr>
                <w:rFonts w:eastAsia="Noto Sans CJK SC"/>
                <w:b/>
                <w:sz w:val="16"/>
              </w:rPr>
              <w:t>方法</w:t>
            </w:r>
          </w:p>
        </w:tc>
        <w:tc>
          <w:tcPr>
            <w:tcW w:type="dxa" w:w="840"/>
            <w:vAlign w:val="center"/>
            <w:shd w:fill="E8EDF2"/>
          </w:tcPr>
          <w:p>
            <w:pPr>
              <w:spacing w:after="60" w:before="60" w:line="240" w:lineRule="auto"/>
            </w:pPr>
            <w:r>
              <w:rPr>
                <w:rFonts w:eastAsia="Noto Sans CJK SC"/>
                <w:b/>
                <w:sz w:val="16"/>
              </w:rPr>
              <w:t>成功任务</w:t>
            </w:r>
          </w:p>
        </w:tc>
        <w:tc>
          <w:tcPr>
            <w:tcW w:type="dxa" w:w="1058"/>
            <w:vAlign w:val="center"/>
            <w:shd w:fill="E8EDF2"/>
          </w:tcPr>
          <w:p>
            <w:pPr>
              <w:spacing w:after="60" w:before="60" w:line="240" w:lineRule="auto"/>
            </w:pPr>
            <w:r>
              <w:rPr>
                <w:rFonts w:eastAsia="Noto Sans CJK SC"/>
                <w:b/>
                <w:sz w:val="16"/>
              </w:rPr>
              <w:t>正确率</w:t>
            </w:r>
          </w:p>
        </w:tc>
        <w:tc>
          <w:tcPr>
            <w:tcW w:type="dxa" w:w="1152"/>
            <w:vAlign w:val="center"/>
            <w:shd w:fill="E8EDF2"/>
          </w:tcPr>
          <w:p>
            <w:pPr>
              <w:spacing w:after="60" w:before="60" w:line="240" w:lineRule="auto"/>
            </w:pPr>
            <w:r>
              <w:rPr>
                <w:rFonts w:eastAsia="Noto Sans CJK SC"/>
                <w:b/>
                <w:sz w:val="16"/>
              </w:rPr>
              <w:t>平均 tokens</w:t>
            </w:r>
          </w:p>
        </w:tc>
        <w:tc>
          <w:tcPr>
            <w:tcW w:type="dxa" w:w="1307"/>
            <w:vAlign w:val="center"/>
            <w:shd w:fill="E8EDF2"/>
          </w:tcPr>
          <w:p>
            <w:pPr>
              <w:spacing w:after="60" w:before="60" w:line="240" w:lineRule="auto"/>
            </w:pPr>
            <w:r>
              <w:rPr>
                <w:rFonts w:eastAsia="Noto Sans CJK SC"/>
                <w:b/>
                <w:sz w:val="16"/>
              </w:rPr>
              <w:t>平均服务时长（秒）</w:t>
            </w:r>
          </w:p>
        </w:tc>
        <w:tc>
          <w:tcPr>
            <w:tcW w:type="dxa" w:w="1245"/>
            <w:vAlign w:val="center"/>
            <w:shd w:fill="E8EDF2"/>
          </w:tcPr>
          <w:p>
            <w:pPr>
              <w:spacing w:after="60" w:before="60" w:line="240" w:lineRule="auto"/>
            </w:pPr>
            <w:r>
              <w:rPr>
                <w:rFonts w:eastAsia="Noto Sans CJK SC"/>
                <w:b/>
                <w:sz w:val="16"/>
              </w:rPr>
              <w:t>Help/Harm</w:t>
            </w:r>
          </w:p>
        </w:tc>
        <w:tc>
          <w:tcPr>
            <w:tcW w:type="dxa" w:w="996"/>
            <w:vAlign w:val="center"/>
            <w:shd w:fill="E8EDF2"/>
          </w:tcPr>
          <w:p>
            <w:pPr>
              <w:spacing w:after="60" w:before="60" w:line="240" w:lineRule="auto"/>
            </w:pPr>
            <w:r>
              <w:rPr>
                <w:rFonts w:eastAsia="Noto Sans CJK SC"/>
                <w:b/>
                <w:sz w:val="16"/>
              </w:rPr>
              <w:t>重调度任务</w:t>
            </w:r>
          </w:p>
        </w:tc>
        <w:tc>
          <w:tcPr>
            <w:tcW w:type="dxa" w:w="1058"/>
            <w:vAlign w:val="center"/>
            <w:shd w:fill="E8EDF2"/>
          </w:tcPr>
          <w:p>
            <w:pPr>
              <w:spacing w:after="60" w:before="60" w:line="240" w:lineRule="auto"/>
            </w:pPr>
            <w:r>
              <w:rPr>
                <w:rFonts w:eastAsia="Noto Sans CJK SC"/>
                <w:b/>
                <w:sz w:val="16"/>
              </w:rPr>
              <w:t>token 超预算</w:t>
            </w:r>
          </w:p>
        </w:tc>
      </w:tr>
      <w:tr>
        <w:trPr>
          <w:cantSplit/>
        </w:trPr>
        <w:tc>
          <w:tcPr>
            <w:tcW w:type="dxa" w:w="1868"/>
            <w:vAlign w:val="center"/>
          </w:tcPr>
          <w:p>
            <w:pPr>
              <w:spacing w:after="60" w:before="60" w:line="240" w:lineRule="auto"/>
            </w:pPr>
            <w:r>
              <w:rPr>
                <w:rFonts w:eastAsia="Noto Sans CJK SC"/>
                <w:b w:val="0"/>
                <w:sz w:val="16"/>
              </w:rPr>
              <w:t>静态、允许局部回退</w:t>
            </w:r>
          </w:p>
        </w:tc>
        <w:tc>
          <w:tcPr>
            <w:tcW w:type="dxa" w:w="840"/>
            <w:vAlign w:val="center"/>
          </w:tcPr>
          <w:p>
            <w:pPr>
              <w:spacing w:after="60" w:before="60" w:line="240" w:lineRule="auto"/>
            </w:pPr>
            <w:r>
              <w:rPr>
                <w:rFonts w:eastAsia="Noto Sans CJK SC"/>
                <w:b w:val="0"/>
                <w:sz w:val="16"/>
              </w:rPr>
              <w:t>25/48</w:t>
            </w:r>
          </w:p>
        </w:tc>
        <w:tc>
          <w:tcPr>
            <w:tcW w:type="dxa" w:w="1058"/>
            <w:vAlign w:val="center"/>
          </w:tcPr>
          <w:p>
            <w:pPr>
              <w:spacing w:after="60" w:before="60" w:line="240" w:lineRule="auto"/>
            </w:pPr>
            <w:r>
              <w:rPr>
                <w:rFonts w:eastAsia="Noto Sans CJK SC"/>
                <w:b w:val="0"/>
                <w:sz w:val="16"/>
              </w:rPr>
              <w:t>52.08%</w:t>
            </w:r>
          </w:p>
        </w:tc>
        <w:tc>
          <w:tcPr>
            <w:tcW w:type="dxa" w:w="1152"/>
            <w:vAlign w:val="center"/>
          </w:tcPr>
          <w:p>
            <w:pPr>
              <w:spacing w:after="60" w:before="60" w:line="240" w:lineRule="auto"/>
            </w:pPr>
            <w:r>
              <w:rPr>
                <w:rFonts w:eastAsia="Noto Sans CJK SC"/>
                <w:b w:val="0"/>
                <w:sz w:val="16"/>
              </w:rPr>
              <w:t>1,402.2</w:t>
            </w:r>
          </w:p>
        </w:tc>
        <w:tc>
          <w:tcPr>
            <w:tcW w:type="dxa" w:w="1307"/>
            <w:vAlign w:val="center"/>
          </w:tcPr>
          <w:p>
            <w:pPr>
              <w:spacing w:after="60" w:before="60" w:line="240" w:lineRule="auto"/>
            </w:pPr>
            <w:r>
              <w:rPr>
                <w:rFonts w:eastAsia="Noto Sans CJK SC"/>
                <w:b w:val="0"/>
                <w:sz w:val="16"/>
              </w:rPr>
              <w:t>2.95</w:t>
            </w:r>
          </w:p>
        </w:tc>
        <w:tc>
          <w:tcPr>
            <w:tcW w:type="dxa" w:w="1245"/>
            <w:vAlign w:val="center"/>
          </w:tcPr>
          <w:p>
            <w:pPr>
              <w:spacing w:after="60" w:before="60" w:line="240" w:lineRule="auto"/>
            </w:pPr>
            <w:r>
              <w:rPr>
                <w:rFonts w:eastAsia="Noto Sans CJK SC"/>
                <w:b w:val="0"/>
                <w:sz w:val="16"/>
              </w:rPr>
              <w:t>—</w:t>
            </w:r>
          </w:p>
        </w:tc>
        <w:tc>
          <w:tcPr>
            <w:tcW w:type="dxa" w:w="996"/>
            <w:vAlign w:val="center"/>
          </w:tcPr>
          <w:p>
            <w:pPr>
              <w:spacing w:after="60" w:before="60" w:line="240" w:lineRule="auto"/>
            </w:pPr>
            <w:r>
              <w:rPr>
                <w:rFonts w:eastAsia="Noto Sans CJK SC"/>
                <w:b w:val="0"/>
                <w:sz w:val="16"/>
              </w:rPr>
              <w:t>—</w:t>
            </w:r>
          </w:p>
        </w:tc>
        <w:tc>
          <w:tcPr>
            <w:tcW w:type="dxa" w:w="1058"/>
            <w:vAlign w:val="center"/>
          </w:tcPr>
          <w:p>
            <w:pPr>
              <w:spacing w:after="60" w:before="60" w:line="240" w:lineRule="auto"/>
            </w:pPr>
            <w:r>
              <w:rPr>
                <w:rFonts w:eastAsia="Noto Sans CJK SC"/>
                <w:b w:val="0"/>
                <w:sz w:val="16"/>
              </w:rPr>
              <w:t>基准</w:t>
            </w:r>
          </w:p>
        </w:tc>
      </w:tr>
      <w:tr>
        <w:trPr>
          <w:cantSplit/>
        </w:trPr>
        <w:tc>
          <w:tcPr>
            <w:tcW w:type="dxa" w:w="1868"/>
            <w:vAlign w:val="center"/>
          </w:tcPr>
          <w:p>
            <w:pPr>
              <w:spacing w:after="60" w:before="60" w:line="240" w:lineRule="auto"/>
            </w:pPr>
            <w:r>
              <w:rPr>
                <w:rFonts w:eastAsia="Noto Sans CJK SC"/>
                <w:b w:val="0"/>
                <w:sz w:val="16"/>
              </w:rPr>
              <w:t>动态第一版</w:t>
            </w:r>
          </w:p>
        </w:tc>
        <w:tc>
          <w:tcPr>
            <w:tcW w:type="dxa" w:w="840"/>
            <w:vAlign w:val="center"/>
          </w:tcPr>
          <w:p>
            <w:pPr>
              <w:spacing w:after="60" w:before="60" w:line="240" w:lineRule="auto"/>
            </w:pPr>
            <w:r>
              <w:rPr>
                <w:rFonts w:eastAsia="Noto Sans CJK SC"/>
                <w:b w:val="0"/>
                <w:sz w:val="16"/>
              </w:rPr>
              <w:t>26/48</w:t>
            </w:r>
          </w:p>
        </w:tc>
        <w:tc>
          <w:tcPr>
            <w:tcW w:type="dxa" w:w="1058"/>
            <w:vAlign w:val="center"/>
          </w:tcPr>
          <w:p>
            <w:pPr>
              <w:spacing w:after="60" w:before="60" w:line="240" w:lineRule="auto"/>
            </w:pPr>
            <w:r>
              <w:rPr>
                <w:rFonts w:eastAsia="Noto Sans CJK SC"/>
                <w:b w:val="0"/>
                <w:sz w:val="16"/>
              </w:rPr>
              <w:t>54.17%</w:t>
            </w:r>
          </w:p>
        </w:tc>
        <w:tc>
          <w:tcPr>
            <w:tcW w:type="dxa" w:w="1152"/>
            <w:vAlign w:val="center"/>
          </w:tcPr>
          <w:p>
            <w:pPr>
              <w:spacing w:after="60" w:before="60" w:line="240" w:lineRule="auto"/>
            </w:pPr>
            <w:r>
              <w:rPr>
                <w:rFonts w:eastAsia="Noto Sans CJK SC"/>
                <w:b w:val="0"/>
                <w:sz w:val="16"/>
              </w:rPr>
              <w:t>1,403.8</w:t>
            </w:r>
          </w:p>
        </w:tc>
        <w:tc>
          <w:tcPr>
            <w:tcW w:type="dxa" w:w="1307"/>
            <w:vAlign w:val="center"/>
          </w:tcPr>
          <w:p>
            <w:pPr>
              <w:spacing w:after="60" w:before="60" w:line="240" w:lineRule="auto"/>
            </w:pPr>
            <w:r>
              <w:rPr>
                <w:rFonts w:eastAsia="Noto Sans CJK SC"/>
                <w:b w:val="0"/>
                <w:sz w:val="16"/>
              </w:rPr>
              <w:t>2.89</w:t>
            </w:r>
          </w:p>
        </w:tc>
        <w:tc>
          <w:tcPr>
            <w:tcW w:type="dxa" w:w="1245"/>
            <w:vAlign w:val="center"/>
          </w:tcPr>
          <w:p>
            <w:pPr>
              <w:spacing w:after="60" w:before="60" w:line="240" w:lineRule="auto"/>
            </w:pPr>
            <w:r>
              <w:rPr>
                <w:rFonts w:eastAsia="Noto Sans CJK SC"/>
                <w:b w:val="0"/>
                <w:sz w:val="16"/>
              </w:rPr>
              <w:t>2/1</w:t>
            </w:r>
          </w:p>
        </w:tc>
        <w:tc>
          <w:tcPr>
            <w:tcW w:type="dxa" w:w="996"/>
            <w:vAlign w:val="center"/>
          </w:tcPr>
          <w:p>
            <w:pPr>
              <w:spacing w:after="60" w:before="60" w:line="240" w:lineRule="auto"/>
            </w:pPr>
            <w:r>
              <w:rPr>
                <w:rFonts w:eastAsia="Noto Sans CJK SC"/>
                <w:b w:val="0"/>
                <w:sz w:val="16"/>
              </w:rPr>
              <w:t>25/48</w:t>
            </w:r>
          </w:p>
        </w:tc>
        <w:tc>
          <w:tcPr>
            <w:tcW w:type="dxa" w:w="1058"/>
            <w:vAlign w:val="center"/>
          </w:tcPr>
          <w:p>
            <w:pPr>
              <w:spacing w:after="60" w:before="60" w:line="240" w:lineRule="auto"/>
            </w:pPr>
            <w:r>
              <w:rPr>
                <w:rFonts w:eastAsia="Noto Sans CJK SC"/>
                <w:b w:val="0"/>
                <w:sz w:val="16"/>
              </w:rPr>
              <w:t>0</w:t>
            </w:r>
          </w:p>
        </w:tc>
      </w:tr>
      <w:tr>
        <w:trPr>
          <w:cantSplit/>
        </w:trPr>
        <w:tc>
          <w:tcPr>
            <w:tcW w:type="dxa" w:w="1868"/>
            <w:vAlign w:val="center"/>
          </w:tcPr>
          <w:p>
            <w:pPr>
              <w:spacing w:after="60" w:before="60" w:line="240" w:lineRule="auto"/>
            </w:pPr>
            <w:r>
              <w:rPr>
                <w:rFonts w:eastAsia="Noto Sans CJK SC"/>
                <w:b w:val="0"/>
                <w:sz w:val="16"/>
              </w:rPr>
              <w:t>动态第二版</w:t>
            </w:r>
          </w:p>
        </w:tc>
        <w:tc>
          <w:tcPr>
            <w:tcW w:type="dxa" w:w="840"/>
            <w:vAlign w:val="center"/>
          </w:tcPr>
          <w:p>
            <w:pPr>
              <w:spacing w:after="60" w:before="60" w:line="240" w:lineRule="auto"/>
            </w:pPr>
            <w:r>
              <w:rPr>
                <w:rFonts w:eastAsia="Noto Sans CJK SC"/>
                <w:b w:val="0"/>
                <w:sz w:val="16"/>
              </w:rPr>
              <w:t>26/48</w:t>
            </w:r>
          </w:p>
        </w:tc>
        <w:tc>
          <w:tcPr>
            <w:tcW w:type="dxa" w:w="1058"/>
            <w:vAlign w:val="center"/>
          </w:tcPr>
          <w:p>
            <w:pPr>
              <w:spacing w:after="60" w:before="60" w:line="240" w:lineRule="auto"/>
            </w:pPr>
            <w:r>
              <w:rPr>
                <w:rFonts w:eastAsia="Noto Sans CJK SC"/>
                <w:b w:val="0"/>
                <w:sz w:val="16"/>
              </w:rPr>
              <w:t>54.17%</w:t>
            </w:r>
          </w:p>
        </w:tc>
        <w:tc>
          <w:tcPr>
            <w:tcW w:type="dxa" w:w="1152"/>
            <w:vAlign w:val="center"/>
          </w:tcPr>
          <w:p>
            <w:pPr>
              <w:spacing w:after="60" w:before="60" w:line="240" w:lineRule="auto"/>
            </w:pPr>
            <w:r>
              <w:rPr>
                <w:rFonts w:eastAsia="Noto Sans CJK SC"/>
                <w:b w:val="0"/>
                <w:sz w:val="16"/>
              </w:rPr>
              <w:t>1,400.6</w:t>
            </w:r>
          </w:p>
        </w:tc>
        <w:tc>
          <w:tcPr>
            <w:tcW w:type="dxa" w:w="1307"/>
            <w:vAlign w:val="center"/>
          </w:tcPr>
          <w:p>
            <w:pPr>
              <w:spacing w:after="60" w:before="60" w:line="240" w:lineRule="auto"/>
            </w:pPr>
            <w:r>
              <w:rPr>
                <w:rFonts w:eastAsia="Noto Sans CJK SC"/>
                <w:b w:val="0"/>
                <w:sz w:val="16"/>
              </w:rPr>
              <w:t>3.09</w:t>
            </w:r>
          </w:p>
        </w:tc>
        <w:tc>
          <w:tcPr>
            <w:tcW w:type="dxa" w:w="1245"/>
            <w:vAlign w:val="center"/>
          </w:tcPr>
          <w:p>
            <w:pPr>
              <w:spacing w:after="60" w:before="60" w:line="240" w:lineRule="auto"/>
            </w:pPr>
            <w:r>
              <w:rPr>
                <w:rFonts w:eastAsia="Noto Sans CJK SC"/>
                <w:b w:val="0"/>
                <w:sz w:val="16"/>
              </w:rPr>
              <w:t>1/0</w:t>
            </w:r>
          </w:p>
        </w:tc>
        <w:tc>
          <w:tcPr>
            <w:tcW w:type="dxa" w:w="996"/>
            <w:vAlign w:val="center"/>
          </w:tcPr>
          <w:p>
            <w:pPr>
              <w:spacing w:after="60" w:before="60" w:line="240" w:lineRule="auto"/>
            </w:pPr>
            <w:r>
              <w:rPr>
                <w:rFonts w:eastAsia="Noto Sans CJK SC"/>
                <w:b w:val="0"/>
                <w:sz w:val="16"/>
              </w:rPr>
              <w:t>25/48</w:t>
            </w:r>
          </w:p>
        </w:tc>
        <w:tc>
          <w:tcPr>
            <w:tcW w:type="dxa" w:w="1058"/>
            <w:vAlign w:val="center"/>
          </w:tcPr>
          <w:p>
            <w:pPr>
              <w:spacing w:after="60" w:before="60" w:line="240" w:lineRule="auto"/>
            </w:pPr>
            <w:r>
              <w:rPr>
                <w:rFonts w:eastAsia="Noto Sans CJK SC"/>
                <w:b w:val="0"/>
                <w:sz w:val="16"/>
              </w:rPr>
              <w:t>0</w:t>
            </w:r>
          </w:p>
        </w:tc>
      </w:tr>
    </w:tbl>
    <w:p>
      <w:pPr>
        <w:pStyle w:val="BodyText"/>
      </w:pPr>
      <w:r>
        <w:t xml:space="preserve">第一版相对静态差异为 2.08 个百分点，原配对区间 [−4.17,10.42]；第二版同样为 2.08 个百分点，本稿逐任务复核区间 [0,6.25]。两者差异均不显著。第二版没有提高成功总数，观察到的损害数从 1 降为 0，同时少了一个帮助案例。平均 tokens 接近静态，服务时长略高，不能写成质量、成本和时延全面改善。</w:t>
      </w:r>
    </w:p>
    <w:p>
      <w:pPr>
        <w:pStyle w:val="BodyText"/>
      </w:pPr>
      <w:r>
        <w:t xml:space="preserve">重调度标记覆盖 25 个任务，但其代码定义还包括局部回退，且实验只有两节点链。因此 25/48 不能直接解释为 25 次具有多个后继的全局重规划成功。零 token 超预算也仅限上述实际预算设置；没有证明严格的双预算在线保证。</w:t>
      </w:r>
    </w:p>
    <w:p>
      <w:pPr>
        <w:pStyle w:val="BodyText"/>
      </w:pPr>
      <w:r>
        <w:t xml:space="preserve">最新证据支持谨慎的结论：选择性更新在该面板上减少了观察到的负迁移，没有取得统计确立的总体准确率优势。由于样本曾被分析且检测理想化，后续不能把它重命名为未经触碰的独立测试。</w:t>
      </w:r>
    </w:p>
    <w:p>
      <w:pPr>
        <w:pStyle w:val="Heading3"/>
      </w:pPr>
      <w:bookmarkStart w:id="58" w:name="受控故障传播"/>
      <w:r>
        <w:t xml:space="preserve">5.6 受控故障传播</w:t>
      </w:r>
      <w:bookmarkEnd w:id="58"/>
    </w:p>
    <w:p>
      <w:pPr>
        <w:pStyle w:val="FirstParagraph"/>
      </w:pPr>
      <w:r>
        <w:t xml:space="preserve">受控实验从相同事实副本出发，构造 C0 无干预、T1 删除最后一个事实、T2 将最后一个事实值乘 1.5、T3 使用 medium 重新抽取四类条件。T1 需要至少两个事实。冻结候选 33 题，实际形成 C0、T2、T3 各 30 对和 T1 28 对，共 118 对记录。[E14]</w:t>
      </w:r>
    </w:p>
    <w:p>
      <w:pPr>
        <w:pStyle w:val="BodyText"/>
      </w:pPr>
      <w:r>
        <w:t xml:space="preserve">为避免错误恢复分母，本表直接从原始配对最终成功字段汇总。原分析脚本将动态成功字段误用于静态恢复计数，并使用不同分母，其恢复率和对应区间不作为论文证据。</w:t>
      </w:r>
    </w:p>
    <w:p>
      <w:pPr>
        <w:pStyle w:val="BodyText"/>
        <w:keepNext/>
        <w:spacing w:before="160"/>
      </w:pPr>
      <w:r>
        <w:t xml:space="preserve">表 5-11 受控故障的配对最终结果</w:t>
      </w:r>
    </w:p>
    <w:tbl>
      <w:tblPr>
        <w:tblStyle w:val="TableGrid"/>
        <w:tblW w:type="dxa" w:w="9524"/>
        <w:tblLayout w:type="fixed"/>
        <w:tblLook w:firstColumn="1" w:firstRow="1" w:lastColumn="0" w:lastRow="0" w:noHBand="0" w:noVBand="1" w:val="04A0"/>
      </w:tblPr>
      <w:tblGrid>
        <w:gridCol w:w="1868"/>
        <w:gridCol w:w="903"/>
        <w:gridCol w:w="1027"/>
        <w:gridCol w:w="1027"/>
        <w:gridCol w:w="1058"/>
        <w:gridCol w:w="1868"/>
        <w:gridCol w:w="1774"/>
      </w:tblGrid>
      <w:tr>
        <w:trPr>
          <w:cantSplit/>
          <w:tblHeader/>
        </w:trPr>
        <w:tc>
          <w:tcPr>
            <w:tcW w:type="dxa" w:w="1868"/>
            <w:vAlign w:val="center"/>
            <w:shd w:fill="E8EDF2"/>
          </w:tcPr>
          <w:p>
            <w:pPr>
              <w:spacing w:after="60" w:before="60" w:line="240" w:lineRule="auto"/>
            </w:pPr>
            <w:r>
              <w:rPr>
                <w:rFonts w:eastAsia="Noto Sans CJK SC"/>
                <w:b/>
                <w:sz w:val="16"/>
              </w:rPr>
              <w:t>条件</w:t>
            </w:r>
          </w:p>
        </w:tc>
        <w:tc>
          <w:tcPr>
            <w:tcW w:type="dxa" w:w="903"/>
            <w:vAlign w:val="center"/>
            <w:shd w:fill="E8EDF2"/>
          </w:tcPr>
          <w:p>
            <w:pPr>
              <w:spacing w:after="60" w:before="60" w:line="240" w:lineRule="auto"/>
            </w:pPr>
            <w:r>
              <w:rPr>
                <w:rFonts w:eastAsia="Noto Sans CJK SC"/>
                <w:b/>
                <w:sz w:val="16"/>
              </w:rPr>
              <w:t>配对数</w:t>
            </w:r>
          </w:p>
        </w:tc>
        <w:tc>
          <w:tcPr>
            <w:tcW w:type="dxa" w:w="1027"/>
            <w:vAlign w:val="center"/>
            <w:shd w:fill="E8EDF2"/>
          </w:tcPr>
          <w:p>
            <w:pPr>
              <w:spacing w:after="60" w:before="60" w:line="240" w:lineRule="auto"/>
            </w:pPr>
            <w:r>
              <w:rPr>
                <w:rFonts w:eastAsia="Noto Sans CJK SC"/>
                <w:b/>
                <w:sz w:val="16"/>
              </w:rPr>
              <w:t>静态正确数</w:t>
            </w:r>
          </w:p>
        </w:tc>
        <w:tc>
          <w:tcPr>
            <w:tcW w:type="dxa" w:w="1027"/>
            <w:vAlign w:val="center"/>
            <w:shd w:fill="E8EDF2"/>
          </w:tcPr>
          <w:p>
            <w:pPr>
              <w:spacing w:after="60" w:before="60" w:line="240" w:lineRule="auto"/>
            </w:pPr>
            <w:r>
              <w:rPr>
                <w:rFonts w:eastAsia="Noto Sans CJK SC"/>
                <w:b/>
                <w:sz w:val="16"/>
              </w:rPr>
              <w:t>动态正确数</w:t>
            </w:r>
          </w:p>
        </w:tc>
        <w:tc>
          <w:tcPr>
            <w:tcW w:type="dxa" w:w="1058"/>
            <w:vAlign w:val="center"/>
            <w:shd w:fill="E8EDF2"/>
          </w:tcPr>
          <w:p>
            <w:pPr>
              <w:spacing w:after="60" w:before="60" w:line="240" w:lineRule="auto"/>
            </w:pPr>
            <w:r>
              <w:rPr>
                <w:rFonts w:eastAsia="Noto Sans CJK SC"/>
                <w:b/>
                <w:sz w:val="16"/>
              </w:rPr>
              <w:t>Help/Harm</w:t>
            </w:r>
          </w:p>
        </w:tc>
        <w:tc>
          <w:tcPr>
            <w:tcW w:type="dxa" w:w="1868"/>
            <w:vAlign w:val="center"/>
            <w:shd w:fill="E8EDF2"/>
          </w:tcPr>
          <w:p>
            <w:pPr>
              <w:spacing w:after="60" w:before="60" w:line="240" w:lineRule="auto"/>
            </w:pPr>
            <w:r>
              <w:rPr>
                <w:rFonts w:eastAsia="Noto Sans CJK SC"/>
                <w:b/>
                <w:sz w:val="16"/>
              </w:rPr>
              <w:t>平均 token 差异</w:t>
            </w:r>
          </w:p>
        </w:tc>
        <w:tc>
          <w:tcPr>
            <w:tcW w:type="dxa" w:w="1774"/>
            <w:vAlign w:val="center"/>
            <w:shd w:fill="E8EDF2"/>
          </w:tcPr>
          <w:p>
            <w:pPr>
              <w:spacing w:after="60" w:before="60" w:line="240" w:lineRule="auto"/>
            </w:pPr>
            <w:r>
              <w:rPr>
                <w:rFonts w:eastAsia="Noto Sans CJK SC"/>
                <w:b/>
                <w:sz w:val="16"/>
              </w:rPr>
              <w:t>服务时长差异（秒）</w:t>
            </w:r>
          </w:p>
        </w:tc>
      </w:tr>
      <w:tr>
        <w:trPr>
          <w:cantSplit/>
        </w:trPr>
        <w:tc>
          <w:tcPr>
            <w:tcW w:type="dxa" w:w="1868"/>
            <w:vAlign w:val="center"/>
          </w:tcPr>
          <w:p>
            <w:pPr>
              <w:spacing w:after="60" w:before="60" w:line="240" w:lineRule="auto"/>
            </w:pPr>
            <w:r>
              <w:rPr>
                <w:rFonts w:eastAsia="Noto Sans CJK SC"/>
                <w:b w:val="0"/>
                <w:sz w:val="16"/>
              </w:rPr>
              <w:t>C0 无干预</w:t>
            </w:r>
          </w:p>
        </w:tc>
        <w:tc>
          <w:tcPr>
            <w:tcW w:type="dxa" w:w="903"/>
            <w:vAlign w:val="center"/>
          </w:tcPr>
          <w:p>
            <w:pPr>
              <w:spacing w:after="60" w:before="60" w:line="240" w:lineRule="auto"/>
            </w:pPr>
            <w:r>
              <w:rPr>
                <w:rFonts w:eastAsia="Noto Sans CJK SC"/>
                <w:b w:val="0"/>
                <w:sz w:val="16"/>
              </w:rPr>
              <w:t>30</w:t>
            </w:r>
          </w:p>
        </w:tc>
        <w:tc>
          <w:tcPr>
            <w:tcW w:type="dxa" w:w="1027"/>
            <w:vAlign w:val="center"/>
          </w:tcPr>
          <w:p>
            <w:pPr>
              <w:spacing w:after="60" w:before="60" w:line="240" w:lineRule="auto"/>
            </w:pPr>
            <w:r>
              <w:rPr>
                <w:rFonts w:eastAsia="Noto Sans CJK SC"/>
                <w:b w:val="0"/>
                <w:sz w:val="16"/>
              </w:rPr>
              <w:t>16</w:t>
            </w:r>
          </w:p>
        </w:tc>
        <w:tc>
          <w:tcPr>
            <w:tcW w:type="dxa" w:w="1027"/>
            <w:vAlign w:val="center"/>
          </w:tcPr>
          <w:p>
            <w:pPr>
              <w:spacing w:after="60" w:before="60" w:line="240" w:lineRule="auto"/>
            </w:pPr>
            <w:r>
              <w:rPr>
                <w:rFonts w:eastAsia="Noto Sans CJK SC"/>
                <w:b w:val="0"/>
                <w:sz w:val="16"/>
              </w:rPr>
              <w:t>15</w:t>
            </w:r>
          </w:p>
        </w:tc>
        <w:tc>
          <w:tcPr>
            <w:tcW w:type="dxa" w:w="1058"/>
            <w:vAlign w:val="center"/>
          </w:tcPr>
          <w:p>
            <w:pPr>
              <w:spacing w:after="60" w:before="60" w:line="240" w:lineRule="auto"/>
            </w:pPr>
            <w:r>
              <w:rPr>
                <w:rFonts w:eastAsia="Noto Sans CJK SC"/>
                <w:b w:val="0"/>
                <w:sz w:val="16"/>
              </w:rPr>
              <w:t>0/1</w:t>
            </w:r>
          </w:p>
        </w:tc>
        <w:tc>
          <w:tcPr>
            <w:tcW w:type="dxa" w:w="1868"/>
            <w:vAlign w:val="center"/>
          </w:tcPr>
          <w:p>
            <w:pPr>
              <w:spacing w:after="60" w:before="60" w:line="240" w:lineRule="auto"/>
            </w:pPr>
            <w:r>
              <w:rPr>
                <w:rFonts w:eastAsia="Noto Sans CJK SC"/>
                <w:b w:val="0"/>
                <w:sz w:val="16"/>
              </w:rPr>
              <w:t>−2.7</w:t>
            </w:r>
          </w:p>
        </w:tc>
        <w:tc>
          <w:tcPr>
            <w:tcW w:type="dxa" w:w="1774"/>
            <w:vAlign w:val="center"/>
          </w:tcPr>
          <w:p>
            <w:pPr>
              <w:spacing w:after="60" w:before="60" w:line="240" w:lineRule="auto"/>
            </w:pPr>
            <w:r>
              <w:rPr>
                <w:rFonts w:eastAsia="Noto Sans CJK SC"/>
                <w:b w:val="0"/>
                <w:sz w:val="16"/>
              </w:rPr>
              <w:t>−0.013</w:t>
            </w:r>
          </w:p>
        </w:tc>
      </w:tr>
      <w:tr>
        <w:trPr>
          <w:cantSplit/>
        </w:trPr>
        <w:tc>
          <w:tcPr>
            <w:tcW w:type="dxa" w:w="1868"/>
            <w:vAlign w:val="center"/>
          </w:tcPr>
          <w:p>
            <w:pPr>
              <w:spacing w:after="60" w:before="60" w:line="240" w:lineRule="auto"/>
            </w:pPr>
            <w:r>
              <w:rPr>
                <w:rFonts w:eastAsia="Noto Sans CJK SC"/>
                <w:b w:val="0"/>
                <w:sz w:val="16"/>
              </w:rPr>
              <w:t>T1 证据缺失</w:t>
            </w:r>
          </w:p>
        </w:tc>
        <w:tc>
          <w:tcPr>
            <w:tcW w:type="dxa" w:w="903"/>
            <w:vAlign w:val="center"/>
          </w:tcPr>
          <w:p>
            <w:pPr>
              <w:spacing w:after="60" w:before="60" w:line="240" w:lineRule="auto"/>
            </w:pPr>
            <w:r>
              <w:rPr>
                <w:rFonts w:eastAsia="Noto Sans CJK SC"/>
                <w:b w:val="0"/>
                <w:sz w:val="16"/>
              </w:rPr>
              <w:t>28</w:t>
            </w:r>
          </w:p>
        </w:tc>
        <w:tc>
          <w:tcPr>
            <w:tcW w:type="dxa" w:w="1027"/>
            <w:vAlign w:val="center"/>
          </w:tcPr>
          <w:p>
            <w:pPr>
              <w:spacing w:after="60" w:before="60" w:line="240" w:lineRule="auto"/>
            </w:pPr>
            <w:r>
              <w:rPr>
                <w:rFonts w:eastAsia="Noto Sans CJK SC"/>
                <w:b w:val="0"/>
                <w:sz w:val="16"/>
              </w:rPr>
              <w:t>2</w:t>
            </w:r>
          </w:p>
        </w:tc>
        <w:tc>
          <w:tcPr>
            <w:tcW w:type="dxa" w:w="1027"/>
            <w:vAlign w:val="center"/>
          </w:tcPr>
          <w:p>
            <w:pPr>
              <w:spacing w:after="60" w:before="60" w:line="240" w:lineRule="auto"/>
            </w:pPr>
            <w:r>
              <w:rPr>
                <w:rFonts w:eastAsia="Noto Sans CJK SC"/>
                <w:b w:val="0"/>
                <w:sz w:val="16"/>
              </w:rPr>
              <w:t>2</w:t>
            </w:r>
          </w:p>
        </w:tc>
        <w:tc>
          <w:tcPr>
            <w:tcW w:type="dxa" w:w="1058"/>
            <w:vAlign w:val="center"/>
          </w:tcPr>
          <w:p>
            <w:pPr>
              <w:spacing w:after="60" w:before="60" w:line="240" w:lineRule="auto"/>
            </w:pPr>
            <w:r>
              <w:rPr>
                <w:rFonts w:eastAsia="Noto Sans CJK SC"/>
                <w:b w:val="0"/>
                <w:sz w:val="16"/>
              </w:rPr>
              <w:t>1/1</w:t>
            </w:r>
          </w:p>
        </w:tc>
        <w:tc>
          <w:tcPr>
            <w:tcW w:type="dxa" w:w="1868"/>
            <w:vAlign w:val="center"/>
          </w:tcPr>
          <w:p>
            <w:pPr>
              <w:spacing w:after="60" w:before="60" w:line="240" w:lineRule="auto"/>
            </w:pPr>
            <w:r>
              <w:rPr>
                <w:rFonts w:eastAsia="Noto Sans CJK SC"/>
                <w:b w:val="0"/>
                <w:sz w:val="16"/>
              </w:rPr>
              <w:t>−4.0</w:t>
            </w:r>
          </w:p>
        </w:tc>
        <w:tc>
          <w:tcPr>
            <w:tcW w:type="dxa" w:w="1774"/>
            <w:vAlign w:val="center"/>
          </w:tcPr>
          <w:p>
            <w:pPr>
              <w:spacing w:after="60" w:before="60" w:line="240" w:lineRule="auto"/>
            </w:pPr>
            <w:r>
              <w:rPr>
                <w:rFonts w:eastAsia="Noto Sans CJK SC"/>
                <w:b w:val="0"/>
                <w:sz w:val="16"/>
              </w:rPr>
              <w:t>+0.039</w:t>
            </w:r>
          </w:p>
        </w:tc>
      </w:tr>
      <w:tr>
        <w:trPr>
          <w:cantSplit/>
        </w:trPr>
        <w:tc>
          <w:tcPr>
            <w:tcW w:type="dxa" w:w="1868"/>
            <w:vAlign w:val="center"/>
          </w:tcPr>
          <w:p>
            <w:pPr>
              <w:spacing w:after="60" w:before="60" w:line="240" w:lineRule="auto"/>
            </w:pPr>
            <w:r>
              <w:rPr>
                <w:rFonts w:eastAsia="Noto Sans CJK SC"/>
                <w:b w:val="0"/>
                <w:sz w:val="16"/>
              </w:rPr>
              <w:t>T2 错误中间值</w:t>
            </w:r>
          </w:p>
        </w:tc>
        <w:tc>
          <w:tcPr>
            <w:tcW w:type="dxa" w:w="903"/>
            <w:vAlign w:val="center"/>
          </w:tcPr>
          <w:p>
            <w:pPr>
              <w:spacing w:after="60" w:before="60" w:line="240" w:lineRule="auto"/>
            </w:pPr>
            <w:r>
              <w:rPr>
                <w:rFonts w:eastAsia="Noto Sans CJK SC"/>
                <w:b w:val="0"/>
                <w:sz w:val="16"/>
              </w:rPr>
              <w:t>30</w:t>
            </w:r>
          </w:p>
        </w:tc>
        <w:tc>
          <w:tcPr>
            <w:tcW w:type="dxa" w:w="1027"/>
            <w:vAlign w:val="center"/>
          </w:tcPr>
          <w:p>
            <w:pPr>
              <w:spacing w:after="60" w:before="60" w:line="240" w:lineRule="auto"/>
            </w:pPr>
            <w:r>
              <w:rPr>
                <w:rFonts w:eastAsia="Noto Sans CJK SC"/>
                <w:b w:val="0"/>
                <w:sz w:val="16"/>
              </w:rPr>
              <w:t>1</w:t>
            </w:r>
          </w:p>
        </w:tc>
        <w:tc>
          <w:tcPr>
            <w:tcW w:type="dxa" w:w="1027"/>
            <w:vAlign w:val="center"/>
          </w:tcPr>
          <w:p>
            <w:pPr>
              <w:spacing w:after="60" w:before="60" w:line="240" w:lineRule="auto"/>
            </w:pPr>
            <w:r>
              <w:rPr>
                <w:rFonts w:eastAsia="Noto Sans CJK SC"/>
                <w:b w:val="0"/>
                <w:sz w:val="16"/>
              </w:rPr>
              <w:t>1</w:t>
            </w:r>
          </w:p>
        </w:tc>
        <w:tc>
          <w:tcPr>
            <w:tcW w:type="dxa" w:w="1058"/>
            <w:vAlign w:val="center"/>
          </w:tcPr>
          <w:p>
            <w:pPr>
              <w:spacing w:after="60" w:before="60" w:line="240" w:lineRule="auto"/>
            </w:pPr>
            <w:r>
              <w:rPr>
                <w:rFonts w:eastAsia="Noto Sans CJK SC"/>
                <w:b w:val="0"/>
                <w:sz w:val="16"/>
              </w:rPr>
              <w:t>0/0</w:t>
            </w:r>
          </w:p>
        </w:tc>
        <w:tc>
          <w:tcPr>
            <w:tcW w:type="dxa" w:w="1868"/>
            <w:vAlign w:val="center"/>
          </w:tcPr>
          <w:p>
            <w:pPr>
              <w:spacing w:after="60" w:before="60" w:line="240" w:lineRule="auto"/>
            </w:pPr>
            <w:r>
              <w:rPr>
                <w:rFonts w:eastAsia="Noto Sans CJK SC"/>
                <w:b w:val="0"/>
                <w:sz w:val="16"/>
              </w:rPr>
              <w:t>−5.3</w:t>
            </w:r>
          </w:p>
        </w:tc>
        <w:tc>
          <w:tcPr>
            <w:tcW w:type="dxa" w:w="1774"/>
            <w:vAlign w:val="center"/>
          </w:tcPr>
          <w:p>
            <w:pPr>
              <w:spacing w:after="60" w:before="60" w:line="240" w:lineRule="auto"/>
            </w:pPr>
            <w:r>
              <w:rPr>
                <w:rFonts w:eastAsia="Noto Sans CJK SC"/>
                <w:b w:val="0"/>
                <w:sz w:val="16"/>
              </w:rPr>
              <w:t>−0.079</w:t>
            </w:r>
          </w:p>
        </w:tc>
      </w:tr>
      <w:tr>
        <w:trPr>
          <w:cantSplit/>
        </w:trPr>
        <w:tc>
          <w:tcPr>
            <w:tcW w:type="dxa" w:w="1868"/>
            <w:vAlign w:val="center"/>
          </w:tcPr>
          <w:p>
            <w:pPr>
              <w:spacing w:after="60" w:before="60" w:line="240" w:lineRule="auto"/>
            </w:pPr>
            <w:r>
              <w:rPr>
                <w:rFonts w:eastAsia="Noto Sans CJK SC"/>
                <w:b w:val="0"/>
                <w:sz w:val="16"/>
              </w:rPr>
              <w:t>T3 模型分配干预</w:t>
            </w:r>
          </w:p>
        </w:tc>
        <w:tc>
          <w:tcPr>
            <w:tcW w:type="dxa" w:w="903"/>
            <w:vAlign w:val="center"/>
          </w:tcPr>
          <w:p>
            <w:pPr>
              <w:spacing w:after="60" w:before="60" w:line="240" w:lineRule="auto"/>
            </w:pPr>
            <w:r>
              <w:rPr>
                <w:rFonts w:eastAsia="Noto Sans CJK SC"/>
                <w:b w:val="0"/>
                <w:sz w:val="16"/>
              </w:rPr>
              <w:t>30</w:t>
            </w:r>
          </w:p>
        </w:tc>
        <w:tc>
          <w:tcPr>
            <w:tcW w:type="dxa" w:w="1027"/>
            <w:vAlign w:val="center"/>
          </w:tcPr>
          <w:p>
            <w:pPr>
              <w:spacing w:after="60" w:before="60" w:line="240" w:lineRule="auto"/>
            </w:pPr>
            <w:r>
              <w:rPr>
                <w:rFonts w:eastAsia="Noto Sans CJK SC"/>
                <w:b w:val="0"/>
                <w:sz w:val="16"/>
              </w:rPr>
              <w:t>13</w:t>
            </w:r>
          </w:p>
        </w:tc>
        <w:tc>
          <w:tcPr>
            <w:tcW w:type="dxa" w:w="1027"/>
            <w:vAlign w:val="center"/>
          </w:tcPr>
          <w:p>
            <w:pPr>
              <w:spacing w:after="60" w:before="60" w:line="240" w:lineRule="auto"/>
            </w:pPr>
            <w:r>
              <w:rPr>
                <w:rFonts w:eastAsia="Noto Sans CJK SC"/>
                <w:b w:val="0"/>
                <w:sz w:val="16"/>
              </w:rPr>
              <w:t>15</w:t>
            </w:r>
          </w:p>
        </w:tc>
        <w:tc>
          <w:tcPr>
            <w:tcW w:type="dxa" w:w="1058"/>
            <w:vAlign w:val="center"/>
          </w:tcPr>
          <w:p>
            <w:pPr>
              <w:spacing w:after="60" w:before="60" w:line="240" w:lineRule="auto"/>
            </w:pPr>
            <w:r>
              <w:rPr>
                <w:rFonts w:eastAsia="Noto Sans CJK SC"/>
                <w:b w:val="0"/>
                <w:sz w:val="16"/>
              </w:rPr>
              <w:t>2/0</w:t>
            </w:r>
          </w:p>
        </w:tc>
        <w:tc>
          <w:tcPr>
            <w:tcW w:type="dxa" w:w="1868"/>
            <w:vAlign w:val="center"/>
          </w:tcPr>
          <w:p>
            <w:pPr>
              <w:spacing w:after="60" w:before="60" w:line="240" w:lineRule="auto"/>
            </w:pPr>
            <w:r>
              <w:rPr>
                <w:rFonts w:eastAsia="Noto Sans CJK SC"/>
                <w:b w:val="0"/>
                <w:sz w:val="16"/>
              </w:rPr>
              <w:t>−69.7</w:t>
            </w:r>
          </w:p>
        </w:tc>
        <w:tc>
          <w:tcPr>
            <w:tcW w:type="dxa" w:w="1774"/>
            <w:vAlign w:val="center"/>
          </w:tcPr>
          <w:p>
            <w:pPr>
              <w:spacing w:after="60" w:before="60" w:line="240" w:lineRule="auto"/>
            </w:pPr>
            <w:r>
              <w:rPr>
                <w:rFonts w:eastAsia="Noto Sans CJK SC"/>
                <w:b w:val="0"/>
                <w:sz w:val="16"/>
              </w:rPr>
              <w:t>−0.638</w:t>
            </w:r>
          </w:p>
        </w:tc>
      </w:tr>
    </w:tbl>
    <w:p>
      <w:pPr>
        <w:pStyle w:val="BodyText"/>
      </w:pPr>
      <w:r>
        <w:t xml:space="preserve">T1 与 T2 未显示净准确率增益，与</w:t>
      </w:r>
      <w:r>
        <w:t xml:space="preserve">“</w:t>
      </w:r>
      <w:r>
        <w:t xml:space="preserve">仅换推理模型不能可靠补回缺失或错误证据</w:t>
      </w:r>
      <w:r>
        <w:t xml:space="preserve">”</w:t>
      </w:r>
      <w:r>
        <w:t xml:space="preserve">的解释一致。T3 中动态多完成两题，提供有限的模型互补线索。但该条件同时改变抽取恢复模型与后续推理模型，不能将收益归因于某一个重路由动作。</w:t>
      </w:r>
    </w:p>
    <w:p>
      <w:pPr>
        <w:pStyle w:val="BodyText"/>
      </w:pPr>
      <w:r>
        <w:t xml:space="preserve">C0 只有 29/30 对最终结果相同，未满足完全相等的理想对照要求。这提示两臂恢复路径即使在没有人工注入故障时也可能分歧。删除</w:t>
      </w:r>
      <w:r>
        <w:t xml:space="preserve">“</w:t>
      </w:r>
      <w:r>
        <w:t xml:space="preserve">最后一个事实</w:t>
      </w:r>
      <w:r>
        <w:t xml:space="preserve">”</w:t>
      </w:r>
      <w:r>
        <w:t xml:space="preserve">也不保证删除的必然是必要操作数。综上，本实验可作为机制性观察，不能作为干净的单因素因果证明；T3 的两例帮助不构成显著优势结论。</w:t>
      </w:r>
    </w:p>
    <w:p>
      <w:pPr>
        <w:pStyle w:val="Heading3"/>
      </w:pPr>
      <w:bookmarkStart w:id="59" w:name="恢复矩阵与预算感知恢复"/>
      <w:r>
        <w:t xml:space="preserve">5.7 恢复矩阵与预算感知恢复</w:t>
      </w:r>
      <w:bookmarkEnd w:id="59"/>
    </w:p>
    <w:p>
      <w:pPr>
        <w:pStyle w:val="FirstParagraph"/>
      </w:pPr>
      <w:r>
        <w:t xml:space="preserve">恢复矩阵使用原最终答案错误的 116 个节点，包含证据类 45、推理类 48、结构类 23。四类动作在冻结运行快照上比较，成功按最终答案判定。[E08、E15]</w:t>
      </w:r>
    </w:p>
    <w:p>
      <w:pPr>
        <w:pStyle w:val="BodyText"/>
        <w:keepNext/>
        <w:spacing w:before="160"/>
      </w:pPr>
      <w:r>
        <w:t xml:space="preserve">表 5-12 审计后的单动作恢复计数</w:t>
      </w:r>
    </w:p>
    <w:tbl>
      <w:tblPr>
        <w:tblStyle w:val="TableGrid"/>
        <w:tblW w:type="dxa" w:w="9524"/>
        <w:tblLayout w:type="fixed"/>
        <w:tblLook w:firstColumn="1" w:firstRow="1" w:lastColumn="0" w:lastRow="0" w:noHBand="0" w:noVBand="1" w:val="04A0"/>
      </w:tblPr>
      <w:tblGrid>
        <w:gridCol w:w="1695"/>
        <w:gridCol w:w="876"/>
        <w:gridCol w:w="1519"/>
        <w:gridCol w:w="1578"/>
        <w:gridCol w:w="2045"/>
        <w:gridCol w:w="1811"/>
      </w:tblGrid>
      <w:tr>
        <w:trPr>
          <w:cantSplit/>
          <w:tblHeader/>
        </w:trPr>
        <w:tc>
          <w:tcPr>
            <w:tcW w:type="dxa" w:w="1695"/>
            <w:vAlign w:val="center"/>
            <w:shd w:fill="E8EDF2"/>
          </w:tcPr>
          <w:p>
            <w:pPr>
              <w:spacing w:after="60" w:before="60" w:line="240" w:lineRule="auto"/>
            </w:pPr>
            <w:r>
              <w:rPr>
                <w:rFonts w:eastAsia="Noto Sans CJK SC"/>
                <w:b/>
                <w:sz w:val="18"/>
              </w:rPr>
              <w:t>真实失败类型</w:t>
            </w:r>
          </w:p>
        </w:tc>
        <w:tc>
          <w:tcPr>
            <w:tcW w:type="dxa" w:w="876"/>
            <w:vAlign w:val="center"/>
            <w:shd w:fill="E8EDF2"/>
          </w:tcPr>
          <w:p>
            <w:pPr>
              <w:spacing w:after="60" w:before="60" w:line="240" w:lineRule="auto"/>
            </w:pPr>
            <w:r>
              <w:rPr>
                <w:rFonts w:eastAsia="Noto Sans CJK SC"/>
                <w:b/>
                <w:sz w:val="18"/>
              </w:rPr>
              <w:t>节点数</w:t>
            </w:r>
          </w:p>
        </w:tc>
        <w:tc>
          <w:tcPr>
            <w:tcW w:type="dxa" w:w="1519"/>
            <w:vAlign w:val="center"/>
            <w:shd w:fill="E8EDF2"/>
          </w:tcPr>
          <w:p>
            <w:pPr>
              <w:spacing w:after="60" w:before="60" w:line="240" w:lineRule="auto"/>
            </w:pPr>
            <w:r>
              <w:rPr>
                <w:rFonts w:eastAsia="Noto Sans CJK SC"/>
                <w:b/>
                <w:sz w:val="18"/>
              </w:rPr>
              <w:t>再次调用成功</w:t>
            </w:r>
          </w:p>
        </w:tc>
        <w:tc>
          <w:tcPr>
            <w:tcW w:type="dxa" w:w="1578"/>
            <w:vAlign w:val="center"/>
            <w:shd w:fill="E8EDF2"/>
          </w:tcPr>
          <w:p>
            <w:pPr>
              <w:spacing w:after="60" w:before="60" w:line="240" w:lineRule="auto"/>
            </w:pPr>
            <w:r>
              <w:rPr>
                <w:rFonts w:eastAsia="Noto Sans CJK SC"/>
                <w:b/>
                <w:sz w:val="18"/>
              </w:rPr>
              <w:t>切换模型成功</w:t>
            </w:r>
          </w:p>
        </w:tc>
        <w:tc>
          <w:tcPr>
            <w:tcW w:type="dxa" w:w="2045"/>
            <w:vAlign w:val="center"/>
            <w:shd w:fill="E8EDF2"/>
          </w:tcPr>
          <w:p>
            <w:pPr>
              <w:spacing w:after="60" w:before="60" w:line="240" w:lineRule="auto"/>
            </w:pPr>
            <w:r>
              <w:rPr>
                <w:rFonts w:eastAsia="Noto Sans CJK SC"/>
                <w:b/>
                <w:sz w:val="18"/>
              </w:rPr>
              <w:t>重新取证成功</w:t>
            </w:r>
          </w:p>
        </w:tc>
        <w:tc>
          <w:tcPr>
            <w:tcW w:type="dxa" w:w="1811"/>
            <w:vAlign w:val="center"/>
            <w:shd w:fill="E8EDF2"/>
          </w:tcPr>
          <w:p>
            <w:pPr>
              <w:spacing w:after="60" w:before="60" w:line="240" w:lineRule="auto"/>
            </w:pPr>
            <w:r>
              <w:rPr>
                <w:rFonts w:eastAsia="Noto Sans CJK SC"/>
                <w:b/>
                <w:sz w:val="18"/>
              </w:rPr>
              <w:t>局部分解成功</w:t>
            </w:r>
          </w:p>
        </w:tc>
      </w:tr>
      <w:tr>
        <w:trPr>
          <w:cantSplit/>
        </w:trPr>
        <w:tc>
          <w:tcPr>
            <w:tcW w:type="dxa" w:w="1695"/>
            <w:vAlign w:val="center"/>
          </w:tcPr>
          <w:p>
            <w:pPr>
              <w:spacing w:after="60" w:before="60" w:line="240" w:lineRule="auto"/>
            </w:pPr>
            <w:r>
              <w:rPr>
                <w:rFonts w:eastAsia="Noto Sans CJK SC"/>
                <w:b w:val="0"/>
                <w:sz w:val="18"/>
              </w:rPr>
              <w:t>证据类</w:t>
            </w:r>
          </w:p>
        </w:tc>
        <w:tc>
          <w:tcPr>
            <w:tcW w:type="dxa" w:w="876"/>
            <w:vAlign w:val="center"/>
          </w:tcPr>
          <w:p>
            <w:pPr>
              <w:spacing w:after="60" w:before="60" w:line="240" w:lineRule="auto"/>
            </w:pPr>
            <w:r>
              <w:rPr>
                <w:rFonts w:eastAsia="Noto Sans CJK SC"/>
                <w:b w:val="0"/>
                <w:sz w:val="18"/>
              </w:rPr>
              <w:t>45</w:t>
            </w:r>
          </w:p>
        </w:tc>
        <w:tc>
          <w:tcPr>
            <w:tcW w:type="dxa" w:w="1519"/>
            <w:vAlign w:val="center"/>
          </w:tcPr>
          <w:p>
            <w:pPr>
              <w:spacing w:after="60" w:before="60" w:line="240" w:lineRule="auto"/>
            </w:pPr>
            <w:r>
              <w:rPr>
                <w:rFonts w:eastAsia="Noto Sans CJK SC"/>
                <w:b w:val="0"/>
                <w:sz w:val="18"/>
              </w:rPr>
              <w:t>0/45</w:t>
            </w:r>
          </w:p>
        </w:tc>
        <w:tc>
          <w:tcPr>
            <w:tcW w:type="dxa" w:w="1578"/>
            <w:vAlign w:val="center"/>
          </w:tcPr>
          <w:p>
            <w:pPr>
              <w:spacing w:after="60" w:before="60" w:line="240" w:lineRule="auto"/>
            </w:pPr>
            <w:r>
              <w:rPr>
                <w:rFonts w:eastAsia="Noto Sans CJK SC"/>
                <w:b w:val="0"/>
                <w:sz w:val="18"/>
              </w:rPr>
              <w:t>1/45</w:t>
            </w:r>
          </w:p>
        </w:tc>
        <w:tc>
          <w:tcPr>
            <w:tcW w:type="dxa" w:w="2045"/>
            <w:vAlign w:val="center"/>
          </w:tcPr>
          <w:p>
            <w:pPr>
              <w:spacing w:after="60" w:before="60" w:line="240" w:lineRule="auto"/>
            </w:pPr>
            <w:r>
              <w:rPr>
                <w:rFonts w:eastAsia="Noto Sans CJK SC"/>
                <w:b w:val="0"/>
                <w:sz w:val="18"/>
              </w:rPr>
              <w:t>2/45</w:t>
            </w:r>
          </w:p>
        </w:tc>
        <w:tc>
          <w:tcPr>
            <w:tcW w:type="dxa" w:w="1811"/>
            <w:vAlign w:val="center"/>
          </w:tcPr>
          <w:p>
            <w:pPr>
              <w:spacing w:after="60" w:before="60" w:line="240" w:lineRule="auto"/>
            </w:pPr>
            <w:r>
              <w:rPr>
                <w:rFonts w:eastAsia="Noto Sans CJK SC"/>
                <w:b w:val="0"/>
                <w:sz w:val="18"/>
              </w:rPr>
              <w:t>1/45</w:t>
            </w:r>
          </w:p>
        </w:tc>
      </w:tr>
      <w:tr>
        <w:trPr>
          <w:cantSplit/>
        </w:trPr>
        <w:tc>
          <w:tcPr>
            <w:tcW w:type="dxa" w:w="1695"/>
            <w:vAlign w:val="center"/>
          </w:tcPr>
          <w:p>
            <w:pPr>
              <w:spacing w:after="60" w:before="60" w:line="240" w:lineRule="auto"/>
            </w:pPr>
            <w:r>
              <w:rPr>
                <w:rFonts w:eastAsia="Noto Sans CJK SC"/>
                <w:b w:val="0"/>
                <w:sz w:val="18"/>
              </w:rPr>
              <w:t>推理类</w:t>
            </w:r>
          </w:p>
        </w:tc>
        <w:tc>
          <w:tcPr>
            <w:tcW w:type="dxa" w:w="876"/>
            <w:vAlign w:val="center"/>
          </w:tcPr>
          <w:p>
            <w:pPr>
              <w:spacing w:after="60" w:before="60" w:line="240" w:lineRule="auto"/>
            </w:pPr>
            <w:r>
              <w:rPr>
                <w:rFonts w:eastAsia="Noto Sans CJK SC"/>
                <w:b w:val="0"/>
                <w:sz w:val="18"/>
              </w:rPr>
              <w:t>48</w:t>
            </w:r>
          </w:p>
        </w:tc>
        <w:tc>
          <w:tcPr>
            <w:tcW w:type="dxa" w:w="1519"/>
            <w:vAlign w:val="center"/>
          </w:tcPr>
          <w:p>
            <w:pPr>
              <w:spacing w:after="60" w:before="60" w:line="240" w:lineRule="auto"/>
            </w:pPr>
            <w:r>
              <w:rPr>
                <w:rFonts w:eastAsia="Noto Sans CJK SC"/>
                <w:b w:val="0"/>
                <w:sz w:val="18"/>
              </w:rPr>
              <w:t>0/48</w:t>
            </w:r>
          </w:p>
        </w:tc>
        <w:tc>
          <w:tcPr>
            <w:tcW w:type="dxa" w:w="1578"/>
            <w:vAlign w:val="center"/>
          </w:tcPr>
          <w:p>
            <w:pPr>
              <w:spacing w:after="60" w:before="60" w:line="240" w:lineRule="auto"/>
            </w:pPr>
            <w:r>
              <w:rPr>
                <w:rFonts w:eastAsia="Noto Sans CJK SC"/>
                <w:b w:val="0"/>
                <w:sz w:val="18"/>
              </w:rPr>
              <w:t>1/48</w:t>
            </w:r>
          </w:p>
        </w:tc>
        <w:tc>
          <w:tcPr>
            <w:tcW w:type="dxa" w:w="2045"/>
            <w:vAlign w:val="center"/>
          </w:tcPr>
          <w:p>
            <w:pPr>
              <w:spacing w:after="60" w:before="60" w:line="240" w:lineRule="auto"/>
            </w:pPr>
            <w:r>
              <w:rPr>
                <w:rFonts w:eastAsia="Noto Sans CJK SC"/>
                <w:b w:val="0"/>
                <w:sz w:val="18"/>
              </w:rPr>
              <w:t>1/48</w:t>
            </w:r>
          </w:p>
        </w:tc>
        <w:tc>
          <w:tcPr>
            <w:tcW w:type="dxa" w:w="1811"/>
            <w:vAlign w:val="center"/>
          </w:tcPr>
          <w:p>
            <w:pPr>
              <w:spacing w:after="60" w:before="60" w:line="240" w:lineRule="auto"/>
            </w:pPr>
            <w:r>
              <w:rPr>
                <w:rFonts w:eastAsia="Noto Sans CJK SC"/>
                <w:b w:val="0"/>
                <w:sz w:val="18"/>
              </w:rPr>
              <w:t>1/48</w:t>
            </w:r>
          </w:p>
        </w:tc>
      </w:tr>
      <w:tr>
        <w:trPr>
          <w:cantSplit/>
        </w:trPr>
        <w:tc>
          <w:tcPr>
            <w:tcW w:type="dxa" w:w="1695"/>
            <w:vAlign w:val="center"/>
          </w:tcPr>
          <w:p>
            <w:pPr>
              <w:spacing w:after="60" w:before="60" w:line="240" w:lineRule="auto"/>
            </w:pPr>
            <w:r>
              <w:rPr>
                <w:rFonts w:eastAsia="Noto Sans CJK SC"/>
                <w:b w:val="0"/>
                <w:sz w:val="18"/>
              </w:rPr>
              <w:t>结构类</w:t>
            </w:r>
          </w:p>
        </w:tc>
        <w:tc>
          <w:tcPr>
            <w:tcW w:type="dxa" w:w="876"/>
            <w:vAlign w:val="center"/>
          </w:tcPr>
          <w:p>
            <w:pPr>
              <w:spacing w:after="60" w:before="60" w:line="240" w:lineRule="auto"/>
            </w:pPr>
            <w:r>
              <w:rPr>
                <w:rFonts w:eastAsia="Noto Sans CJK SC"/>
                <w:b w:val="0"/>
                <w:sz w:val="18"/>
              </w:rPr>
              <w:t>23</w:t>
            </w:r>
          </w:p>
        </w:tc>
        <w:tc>
          <w:tcPr>
            <w:tcW w:type="dxa" w:w="1519"/>
            <w:vAlign w:val="center"/>
          </w:tcPr>
          <w:p>
            <w:pPr>
              <w:spacing w:after="60" w:before="60" w:line="240" w:lineRule="auto"/>
            </w:pPr>
            <w:r>
              <w:rPr>
                <w:rFonts w:eastAsia="Noto Sans CJK SC"/>
                <w:b w:val="0"/>
                <w:sz w:val="18"/>
              </w:rPr>
              <w:t>2/23</w:t>
            </w:r>
          </w:p>
        </w:tc>
        <w:tc>
          <w:tcPr>
            <w:tcW w:type="dxa" w:w="1578"/>
            <w:vAlign w:val="center"/>
          </w:tcPr>
          <w:p>
            <w:pPr>
              <w:spacing w:after="60" w:before="60" w:line="240" w:lineRule="auto"/>
            </w:pPr>
            <w:r>
              <w:rPr>
                <w:rFonts w:eastAsia="Noto Sans CJK SC"/>
                <w:b w:val="0"/>
                <w:sz w:val="18"/>
              </w:rPr>
              <w:t>0/23</w:t>
            </w:r>
          </w:p>
        </w:tc>
        <w:tc>
          <w:tcPr>
            <w:tcW w:type="dxa" w:w="2045"/>
            <w:vAlign w:val="center"/>
          </w:tcPr>
          <w:p>
            <w:pPr>
              <w:spacing w:after="60" w:before="60" w:line="240" w:lineRule="auto"/>
            </w:pPr>
            <w:r>
              <w:rPr>
                <w:rFonts w:eastAsia="Noto Sans CJK SC"/>
                <w:b w:val="0"/>
                <w:sz w:val="18"/>
              </w:rPr>
              <w:t>2/23</w:t>
            </w:r>
          </w:p>
        </w:tc>
        <w:tc>
          <w:tcPr>
            <w:tcW w:type="dxa" w:w="1811"/>
            <w:vAlign w:val="center"/>
          </w:tcPr>
          <w:p>
            <w:pPr>
              <w:spacing w:after="60" w:before="60" w:line="240" w:lineRule="auto"/>
            </w:pPr>
            <w:r>
              <w:rPr>
                <w:rFonts w:eastAsia="Noto Sans CJK SC"/>
                <w:b w:val="0"/>
                <w:sz w:val="18"/>
              </w:rPr>
              <w:t>0/23</w:t>
            </w:r>
          </w:p>
        </w:tc>
      </w:tr>
      <w:tr>
        <w:trPr>
          <w:cantSplit/>
        </w:trPr>
        <w:tc>
          <w:tcPr>
            <w:tcW w:type="dxa" w:w="1695"/>
            <w:vAlign w:val="center"/>
          </w:tcPr>
          <w:p>
            <w:pPr>
              <w:spacing w:after="60" w:before="60" w:line="240" w:lineRule="auto"/>
            </w:pPr>
            <w:r>
              <w:rPr>
                <w:rFonts w:eastAsia="Noto Sans CJK SC"/>
                <w:b w:val="0"/>
                <w:sz w:val="18"/>
              </w:rPr>
              <w:t>合计</w:t>
            </w:r>
          </w:p>
        </w:tc>
        <w:tc>
          <w:tcPr>
            <w:tcW w:type="dxa" w:w="876"/>
            <w:vAlign w:val="center"/>
          </w:tcPr>
          <w:p>
            <w:pPr>
              <w:spacing w:after="60" w:before="60" w:line="240" w:lineRule="auto"/>
            </w:pPr>
            <w:r>
              <w:rPr>
                <w:rFonts w:eastAsia="Noto Sans CJK SC"/>
                <w:b w:val="0"/>
                <w:sz w:val="18"/>
              </w:rPr>
              <w:t>116</w:t>
            </w:r>
          </w:p>
        </w:tc>
        <w:tc>
          <w:tcPr>
            <w:tcW w:type="dxa" w:w="1519"/>
            <w:vAlign w:val="center"/>
          </w:tcPr>
          <w:p>
            <w:pPr>
              <w:spacing w:after="60" w:before="60" w:line="240" w:lineRule="auto"/>
            </w:pPr>
            <w:r>
              <w:rPr>
                <w:rFonts w:eastAsia="Noto Sans CJK SC"/>
                <w:b w:val="0"/>
                <w:sz w:val="18"/>
              </w:rPr>
              <w:t>2/116</w:t>
            </w:r>
          </w:p>
        </w:tc>
        <w:tc>
          <w:tcPr>
            <w:tcW w:type="dxa" w:w="1578"/>
            <w:vAlign w:val="center"/>
          </w:tcPr>
          <w:p>
            <w:pPr>
              <w:spacing w:after="60" w:before="60" w:line="240" w:lineRule="auto"/>
            </w:pPr>
            <w:r>
              <w:rPr>
                <w:rFonts w:eastAsia="Noto Sans CJK SC"/>
                <w:b w:val="0"/>
                <w:sz w:val="18"/>
              </w:rPr>
              <w:t>2/116</w:t>
            </w:r>
          </w:p>
        </w:tc>
        <w:tc>
          <w:tcPr>
            <w:tcW w:type="dxa" w:w="2045"/>
            <w:vAlign w:val="center"/>
          </w:tcPr>
          <w:p>
            <w:pPr>
              <w:spacing w:after="60" w:before="60" w:line="240" w:lineRule="auto"/>
            </w:pPr>
            <w:r>
              <w:rPr>
                <w:rFonts w:eastAsia="Noto Sans CJK SC"/>
                <w:b w:val="0"/>
                <w:sz w:val="18"/>
              </w:rPr>
              <w:t>5/116</w:t>
            </w:r>
          </w:p>
        </w:tc>
        <w:tc>
          <w:tcPr>
            <w:tcW w:type="dxa" w:w="1811"/>
            <w:vAlign w:val="center"/>
          </w:tcPr>
          <w:p>
            <w:pPr>
              <w:spacing w:after="60" w:before="60" w:line="240" w:lineRule="auto"/>
            </w:pPr>
            <w:r>
              <w:rPr>
                <w:rFonts w:eastAsia="Noto Sans CJK SC"/>
                <w:b w:val="0"/>
                <w:sz w:val="18"/>
              </w:rPr>
              <w:t>2/116</w:t>
            </w:r>
          </w:p>
        </w:tc>
      </w:tr>
    </w:tbl>
    <w:p>
      <w:pPr>
        <w:pStyle w:val="BodyText"/>
      </w:pPr>
      <w:r>
        <w:t xml:space="preserve">各类成功数很少，同一节点还可能被多个动作恢复。表中不支持建立稳定的</w:t>
      </w:r>
      <w:r>
        <w:t xml:space="preserve">“</w:t>
      </w:r>
      <w:r>
        <w:t xml:space="preserve">失败类型→最优动作</w:t>
      </w:r>
      <w:r>
        <w:t xml:space="preserve">”</w:t>
      </w:r>
      <w:r>
        <w:t xml:space="preserve">映射；并未通过新的交互效应检验，因此不把这一判断写成严格证明不存在任何关联。再次调用的两个成功也不满足同提示重试语义。</w:t>
      </w:r>
    </w:p>
    <w:p>
      <w:pPr>
        <w:pStyle w:val="BodyText"/>
      </w:pPr>
      <w:r>
        <w:t xml:space="preserve">本稿从 116 条原始动作记录补算平均资源开销，避免使用原纠正矩阵中占位的零成本字段。</w:t>
      </w:r>
    </w:p>
    <w:p>
      <w:pPr>
        <w:pStyle w:val="BodyText"/>
        <w:keepNext/>
        <w:spacing w:before="160"/>
      </w:pPr>
      <w:r>
        <w:t xml:space="preserve">表 5-13 单动作新增资源开销</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单动作</w:t>
            </w:r>
          </w:p>
        </w:tc>
        <w:tc>
          <w:tcPr>
            <w:tcW w:type="dxa" w:w="1701"/>
            <w:vAlign w:val="center"/>
            <w:shd w:fill="E8EDF2"/>
          </w:tcPr>
          <w:p>
            <w:pPr>
              <w:spacing w:after="60" w:before="60" w:line="240" w:lineRule="auto"/>
            </w:pPr>
            <w:r>
              <w:rPr>
                <w:rFonts w:eastAsia="Noto Sans CJK SC"/>
                <w:b/>
                <w:sz w:val="18"/>
              </w:rPr>
              <w:t>恢复率</w:t>
            </w:r>
          </w:p>
        </w:tc>
        <w:tc>
          <w:tcPr>
            <w:tcW w:type="dxa" w:w="2665"/>
            <w:vAlign w:val="center"/>
            <w:shd w:fill="E8EDF2"/>
          </w:tcPr>
          <w:p>
            <w:pPr>
              <w:spacing w:after="60" w:before="60" w:line="240" w:lineRule="auto"/>
            </w:pPr>
            <w:r>
              <w:rPr>
                <w:rFonts w:eastAsia="Noto Sans CJK SC"/>
                <w:b/>
                <w:sz w:val="18"/>
              </w:rPr>
              <w:t>平均新增 tokens</w:t>
            </w:r>
          </w:p>
        </w:tc>
        <w:tc>
          <w:tcPr>
            <w:tcW w:type="dxa" w:w="2891"/>
            <w:vAlign w:val="center"/>
            <w:shd w:fill="E8EDF2"/>
          </w:tcPr>
          <w:p>
            <w:pPr>
              <w:spacing w:after="60" w:before="60" w:line="240" w:lineRule="auto"/>
            </w:pPr>
            <w:r>
              <w:rPr>
                <w:rFonts w:eastAsia="Noto Sans CJK SC"/>
                <w:b/>
                <w:sz w:val="18"/>
              </w:rPr>
              <w:t>平均新增服务时长（秒）</w:t>
            </w:r>
          </w:p>
        </w:tc>
      </w:tr>
      <w:tr>
        <w:trPr>
          <w:cantSplit/>
        </w:trPr>
        <w:tc>
          <w:tcPr>
            <w:tcW w:type="dxa" w:w="2268"/>
            <w:vAlign w:val="center"/>
          </w:tcPr>
          <w:p>
            <w:pPr>
              <w:spacing w:after="60" w:before="60" w:line="240" w:lineRule="auto"/>
            </w:pPr>
            <w:r>
              <w:rPr>
                <w:rFonts w:eastAsia="Noto Sans CJK SC"/>
                <w:b w:val="0"/>
                <w:sz w:val="18"/>
              </w:rPr>
              <w:t>再次调用</w:t>
            </w:r>
          </w:p>
        </w:tc>
        <w:tc>
          <w:tcPr>
            <w:tcW w:type="dxa" w:w="1701"/>
            <w:vAlign w:val="center"/>
          </w:tcPr>
          <w:p>
            <w:pPr>
              <w:spacing w:after="60" w:before="60" w:line="240" w:lineRule="auto"/>
            </w:pPr>
            <w:r>
              <w:rPr>
                <w:rFonts w:eastAsia="Noto Sans CJK SC"/>
                <w:b w:val="0"/>
                <w:sz w:val="18"/>
              </w:rPr>
              <w:t>1.72%</w:t>
            </w:r>
          </w:p>
        </w:tc>
        <w:tc>
          <w:tcPr>
            <w:tcW w:type="dxa" w:w="2665"/>
            <w:vAlign w:val="center"/>
          </w:tcPr>
          <w:p>
            <w:pPr>
              <w:spacing w:after="60" w:before="60" w:line="240" w:lineRule="auto"/>
            </w:pPr>
            <w:r>
              <w:rPr>
                <w:rFonts w:eastAsia="Noto Sans CJK SC"/>
                <w:b w:val="0"/>
                <w:sz w:val="18"/>
              </w:rPr>
              <w:t>276.0</w:t>
            </w:r>
          </w:p>
        </w:tc>
        <w:tc>
          <w:tcPr>
            <w:tcW w:type="dxa" w:w="2891"/>
            <w:vAlign w:val="center"/>
          </w:tcPr>
          <w:p>
            <w:pPr>
              <w:spacing w:after="60" w:before="60" w:line="240" w:lineRule="auto"/>
            </w:pPr>
            <w:r>
              <w:rPr>
                <w:rFonts w:eastAsia="Noto Sans CJK SC"/>
                <w:b w:val="0"/>
                <w:sz w:val="18"/>
              </w:rPr>
              <w:t>0.322</w:t>
            </w:r>
          </w:p>
        </w:tc>
      </w:tr>
      <w:tr>
        <w:trPr>
          <w:cantSplit/>
        </w:trPr>
        <w:tc>
          <w:tcPr>
            <w:tcW w:type="dxa" w:w="2268"/>
            <w:vAlign w:val="center"/>
          </w:tcPr>
          <w:p>
            <w:pPr>
              <w:spacing w:after="60" w:before="60" w:line="240" w:lineRule="auto"/>
            </w:pPr>
            <w:r>
              <w:rPr>
                <w:rFonts w:eastAsia="Noto Sans CJK SC"/>
                <w:b w:val="0"/>
                <w:sz w:val="18"/>
              </w:rPr>
              <w:t>切换模型</w:t>
            </w:r>
          </w:p>
        </w:tc>
        <w:tc>
          <w:tcPr>
            <w:tcW w:type="dxa" w:w="1701"/>
            <w:vAlign w:val="center"/>
          </w:tcPr>
          <w:p>
            <w:pPr>
              <w:spacing w:after="60" w:before="60" w:line="240" w:lineRule="auto"/>
            </w:pPr>
            <w:r>
              <w:rPr>
                <w:rFonts w:eastAsia="Noto Sans CJK SC"/>
                <w:b w:val="0"/>
                <w:sz w:val="18"/>
              </w:rPr>
              <w:t>1.72%</w:t>
            </w:r>
          </w:p>
        </w:tc>
        <w:tc>
          <w:tcPr>
            <w:tcW w:type="dxa" w:w="2665"/>
            <w:vAlign w:val="center"/>
          </w:tcPr>
          <w:p>
            <w:pPr>
              <w:spacing w:after="60" w:before="60" w:line="240" w:lineRule="auto"/>
            </w:pPr>
            <w:r>
              <w:rPr>
                <w:rFonts w:eastAsia="Noto Sans CJK SC"/>
                <w:b w:val="0"/>
                <w:sz w:val="18"/>
              </w:rPr>
              <w:t>275.7</w:t>
            </w:r>
          </w:p>
        </w:tc>
        <w:tc>
          <w:tcPr>
            <w:tcW w:type="dxa" w:w="2891"/>
            <w:vAlign w:val="center"/>
          </w:tcPr>
          <w:p>
            <w:pPr>
              <w:spacing w:after="60" w:before="60" w:line="240" w:lineRule="auto"/>
            </w:pPr>
            <w:r>
              <w:rPr>
                <w:rFonts w:eastAsia="Noto Sans CJK SC"/>
                <w:b w:val="0"/>
                <w:sz w:val="18"/>
              </w:rPr>
              <w:t>0.366</w:t>
            </w:r>
          </w:p>
        </w:tc>
      </w:tr>
      <w:tr>
        <w:trPr>
          <w:cantSplit/>
        </w:trPr>
        <w:tc>
          <w:tcPr>
            <w:tcW w:type="dxa" w:w="2268"/>
            <w:vAlign w:val="center"/>
          </w:tcPr>
          <w:p>
            <w:pPr>
              <w:spacing w:after="60" w:before="60" w:line="240" w:lineRule="auto"/>
            </w:pPr>
            <w:r>
              <w:rPr>
                <w:rFonts w:eastAsia="Noto Sans CJK SC"/>
                <w:b w:val="0"/>
                <w:sz w:val="18"/>
              </w:rPr>
              <w:t>重新取证</w:t>
            </w:r>
          </w:p>
        </w:tc>
        <w:tc>
          <w:tcPr>
            <w:tcW w:type="dxa" w:w="1701"/>
            <w:vAlign w:val="center"/>
          </w:tcPr>
          <w:p>
            <w:pPr>
              <w:spacing w:after="60" w:before="60" w:line="240" w:lineRule="auto"/>
            </w:pPr>
            <w:r>
              <w:rPr>
                <w:rFonts w:eastAsia="Noto Sans CJK SC"/>
                <w:b w:val="0"/>
                <w:sz w:val="18"/>
              </w:rPr>
              <w:t>4.31%</w:t>
            </w:r>
          </w:p>
        </w:tc>
        <w:tc>
          <w:tcPr>
            <w:tcW w:type="dxa" w:w="2665"/>
            <w:vAlign w:val="center"/>
          </w:tcPr>
          <w:p>
            <w:pPr>
              <w:spacing w:after="60" w:before="60" w:line="240" w:lineRule="auto"/>
            </w:pPr>
            <w:r>
              <w:rPr>
                <w:rFonts w:eastAsia="Noto Sans CJK SC"/>
                <w:b w:val="0"/>
                <w:sz w:val="18"/>
              </w:rPr>
              <w:t>2,939.1</w:t>
            </w:r>
          </w:p>
        </w:tc>
        <w:tc>
          <w:tcPr>
            <w:tcW w:type="dxa" w:w="2891"/>
            <w:vAlign w:val="center"/>
          </w:tcPr>
          <w:p>
            <w:pPr>
              <w:spacing w:after="60" w:before="60" w:line="240" w:lineRule="auto"/>
            </w:pPr>
            <w:r>
              <w:rPr>
                <w:rFonts w:eastAsia="Noto Sans CJK SC"/>
                <w:b w:val="0"/>
                <w:sz w:val="18"/>
              </w:rPr>
              <w:t>3.488</w:t>
            </w:r>
          </w:p>
        </w:tc>
      </w:tr>
      <w:tr>
        <w:trPr>
          <w:cantSplit/>
        </w:trPr>
        <w:tc>
          <w:tcPr>
            <w:tcW w:type="dxa" w:w="2268"/>
            <w:vAlign w:val="center"/>
          </w:tcPr>
          <w:p>
            <w:pPr>
              <w:spacing w:after="60" w:before="60" w:line="240" w:lineRule="auto"/>
            </w:pPr>
            <w:r>
              <w:rPr>
                <w:rFonts w:eastAsia="Noto Sans CJK SC"/>
                <w:b w:val="0"/>
                <w:sz w:val="18"/>
              </w:rPr>
              <w:t>局部分解</w:t>
            </w:r>
          </w:p>
        </w:tc>
        <w:tc>
          <w:tcPr>
            <w:tcW w:type="dxa" w:w="1701"/>
            <w:vAlign w:val="center"/>
          </w:tcPr>
          <w:p>
            <w:pPr>
              <w:spacing w:after="60" w:before="60" w:line="240" w:lineRule="auto"/>
            </w:pPr>
            <w:r>
              <w:rPr>
                <w:rFonts w:eastAsia="Noto Sans CJK SC"/>
                <w:b w:val="0"/>
                <w:sz w:val="18"/>
              </w:rPr>
              <w:t>1.72%</w:t>
            </w:r>
          </w:p>
        </w:tc>
        <w:tc>
          <w:tcPr>
            <w:tcW w:type="dxa" w:w="2665"/>
            <w:vAlign w:val="center"/>
          </w:tcPr>
          <w:p>
            <w:pPr>
              <w:spacing w:after="60" w:before="60" w:line="240" w:lineRule="auto"/>
            </w:pPr>
            <w:r>
              <w:rPr>
                <w:rFonts w:eastAsia="Noto Sans CJK SC"/>
                <w:b w:val="0"/>
                <w:sz w:val="18"/>
              </w:rPr>
              <w:t>3,030.3</w:t>
            </w:r>
          </w:p>
        </w:tc>
        <w:tc>
          <w:tcPr>
            <w:tcW w:type="dxa" w:w="2891"/>
            <w:vAlign w:val="center"/>
          </w:tcPr>
          <w:p>
            <w:pPr>
              <w:spacing w:after="60" w:before="60" w:line="240" w:lineRule="auto"/>
            </w:pPr>
            <w:r>
              <w:rPr>
                <w:rFonts w:eastAsia="Noto Sans CJK SC"/>
                <w:b w:val="0"/>
                <w:sz w:val="18"/>
              </w:rPr>
              <w:t>3.900</w:t>
            </w:r>
          </w:p>
        </w:tc>
      </w:tr>
    </w:tbl>
    <w:p>
      <w:pPr>
        <w:pStyle w:val="BodyText"/>
      </w:pPr>
      <w:r>
        <w:t xml:space="preserve">重新取证覆盖更多失败，但成本也高。单动作平均成本来自所有尝试，不是每个成功任务成本。四动作并集仅恢复 8/116，即 6.90%；这一上界针对当前样本、提示、模型和动作输出固定集合，不是所有未来系统的理论能力上限。</w:t>
      </w:r>
    </w:p>
    <w:p>
      <w:pPr>
        <w:pStyle w:val="BodyText"/>
      </w:pPr>
      <w:r>
        <w:t xml:space="preserve">顺序恢复回放进一步比较累计开销。该回放按离线正确性在首次成功时停止，资源消耗由已测动作相加，不等于完整序列重新在线执行。</w:t>
      </w:r>
    </w:p>
    <w:p>
      <w:pPr>
        <w:pStyle w:val="BodyText"/>
        <w:keepNext/>
        <w:spacing w:before="160"/>
      </w:pPr>
      <w:r>
        <w:t xml:space="preserve">表 5-14 顺序恢复的覆盖与累计开销</w:t>
      </w:r>
    </w:p>
    <w:tbl>
      <w:tblPr>
        <w:tblStyle w:val="TableGrid"/>
        <w:tblW w:type="dxa" w:w="9524"/>
        <w:tblLayout w:type="fixed"/>
        <w:tblLook w:firstColumn="1" w:firstRow="1" w:lastColumn="0" w:lastRow="0" w:noHBand="0" w:noVBand="1" w:val="04A0"/>
      </w:tblPr>
      <w:tblGrid>
        <w:gridCol w:w="2154"/>
        <w:gridCol w:w="1247"/>
        <w:gridCol w:w="1531"/>
        <w:gridCol w:w="1984"/>
        <w:gridCol w:w="2608"/>
      </w:tblGrid>
      <w:tr>
        <w:trPr>
          <w:cantSplit/>
          <w:tblHeader/>
        </w:trPr>
        <w:tc>
          <w:tcPr>
            <w:tcW w:type="dxa" w:w="2154"/>
            <w:vAlign w:val="center"/>
            <w:shd w:fill="E8EDF2"/>
          </w:tcPr>
          <w:p>
            <w:pPr>
              <w:spacing w:after="60" w:before="60" w:line="240" w:lineRule="auto"/>
            </w:pPr>
            <w:r>
              <w:rPr>
                <w:rFonts w:eastAsia="Noto Sans CJK SC"/>
                <w:b/>
                <w:sz w:val="18"/>
              </w:rPr>
              <w:t>顺序策略</w:t>
            </w:r>
          </w:p>
        </w:tc>
        <w:tc>
          <w:tcPr>
            <w:tcW w:type="dxa" w:w="1247"/>
            <w:vAlign w:val="center"/>
            <w:shd w:fill="E8EDF2"/>
          </w:tcPr>
          <w:p>
            <w:pPr>
              <w:spacing w:after="60" w:before="60" w:line="240" w:lineRule="auto"/>
            </w:pPr>
            <w:r>
              <w:rPr>
                <w:rFonts w:eastAsia="Noto Sans CJK SC"/>
                <w:b/>
                <w:sz w:val="18"/>
              </w:rPr>
              <w:t>恢复率</w:t>
            </w:r>
          </w:p>
        </w:tc>
        <w:tc>
          <w:tcPr>
            <w:tcW w:type="dxa" w:w="1531"/>
            <w:vAlign w:val="center"/>
            <w:shd w:fill="E8EDF2"/>
          </w:tcPr>
          <w:p>
            <w:pPr>
              <w:spacing w:after="60" w:before="60" w:line="240" w:lineRule="auto"/>
            </w:pPr>
            <w:r>
              <w:rPr>
                <w:rFonts w:eastAsia="Noto Sans CJK SC"/>
                <w:b/>
                <w:sz w:val="18"/>
              </w:rPr>
              <w:t>95% 任务聚类区间</w:t>
            </w:r>
          </w:p>
        </w:tc>
        <w:tc>
          <w:tcPr>
            <w:tcW w:type="dxa" w:w="1984"/>
            <w:vAlign w:val="center"/>
            <w:shd w:fill="E8EDF2"/>
          </w:tcPr>
          <w:p>
            <w:pPr>
              <w:spacing w:after="60" w:before="60" w:line="240" w:lineRule="auto"/>
            </w:pPr>
            <w:r>
              <w:rPr>
                <w:rFonts w:eastAsia="Noto Sans CJK SC"/>
                <w:b/>
                <w:sz w:val="18"/>
              </w:rPr>
              <w:t>平均新增 tokens</w:t>
            </w:r>
          </w:p>
        </w:tc>
        <w:tc>
          <w:tcPr>
            <w:tcW w:type="dxa" w:w="2608"/>
            <w:vAlign w:val="center"/>
            <w:shd w:fill="E8EDF2"/>
          </w:tcPr>
          <w:p>
            <w:pPr>
              <w:spacing w:after="60" w:before="60" w:line="240" w:lineRule="auto"/>
            </w:pPr>
            <w:r>
              <w:rPr>
                <w:rFonts w:eastAsia="Noto Sans CJK SC"/>
                <w:b/>
                <w:sz w:val="18"/>
              </w:rPr>
              <w:t>服务时长（秒）</w:t>
            </w:r>
          </w:p>
        </w:tc>
      </w:tr>
      <w:tr>
        <w:trPr>
          <w:cantSplit/>
        </w:trPr>
        <w:tc>
          <w:tcPr>
            <w:tcW w:type="dxa" w:w="2154"/>
            <w:vAlign w:val="center"/>
          </w:tcPr>
          <w:p>
            <w:pPr>
              <w:spacing w:after="60" w:before="60" w:line="240" w:lineRule="auto"/>
            </w:pPr>
            <w:r>
              <w:rPr>
                <w:rFonts w:eastAsia="Noto Sans CJK SC"/>
                <w:b w:val="0"/>
                <w:sz w:val="18"/>
              </w:rPr>
              <w:t>再次调用→切换</w:t>
            </w:r>
          </w:p>
        </w:tc>
        <w:tc>
          <w:tcPr>
            <w:tcW w:type="dxa" w:w="1247"/>
            <w:vAlign w:val="center"/>
          </w:tcPr>
          <w:p>
            <w:pPr>
              <w:spacing w:after="60" w:before="60" w:line="240" w:lineRule="auto"/>
            </w:pPr>
            <w:r>
              <w:rPr>
                <w:rFonts w:eastAsia="Noto Sans CJK SC"/>
                <w:b w:val="0"/>
                <w:sz w:val="18"/>
              </w:rPr>
              <w:t>3.45%</w:t>
            </w:r>
          </w:p>
        </w:tc>
        <w:tc>
          <w:tcPr>
            <w:tcW w:type="dxa" w:w="1531"/>
            <w:vAlign w:val="center"/>
          </w:tcPr>
          <w:p>
            <w:pPr>
              <w:spacing w:after="60" w:before="60" w:line="240" w:lineRule="auto"/>
            </w:pPr>
            <w:r>
              <w:rPr>
                <w:rFonts w:eastAsia="Noto Sans CJK SC"/>
                <w:b w:val="0"/>
                <w:sz w:val="18"/>
              </w:rPr>
              <w:t>[0.82%,7.21%]</w:t>
            </w:r>
          </w:p>
        </w:tc>
        <w:tc>
          <w:tcPr>
            <w:tcW w:type="dxa" w:w="1984"/>
            <w:vAlign w:val="center"/>
          </w:tcPr>
          <w:p>
            <w:pPr>
              <w:spacing w:after="60" w:before="60" w:line="240" w:lineRule="auto"/>
            </w:pPr>
            <w:r>
              <w:rPr>
                <w:rFonts w:eastAsia="Noto Sans CJK SC"/>
                <w:b w:val="0"/>
                <w:sz w:val="18"/>
              </w:rPr>
              <w:t>544.4</w:t>
            </w:r>
          </w:p>
        </w:tc>
        <w:tc>
          <w:tcPr>
            <w:tcW w:type="dxa" w:w="2608"/>
            <w:vAlign w:val="center"/>
          </w:tcPr>
          <w:p>
            <w:pPr>
              <w:spacing w:after="60" w:before="60" w:line="240" w:lineRule="auto"/>
            </w:pPr>
            <w:r>
              <w:rPr>
                <w:rFonts w:eastAsia="Noto Sans CJK SC"/>
                <w:b w:val="0"/>
                <w:sz w:val="18"/>
              </w:rPr>
              <w:t>0.681</w:t>
            </w:r>
          </w:p>
        </w:tc>
      </w:tr>
      <w:tr>
        <w:trPr>
          <w:cantSplit/>
        </w:trPr>
        <w:tc>
          <w:tcPr>
            <w:tcW w:type="dxa" w:w="2154"/>
            <w:vAlign w:val="center"/>
          </w:tcPr>
          <w:p>
            <w:pPr>
              <w:spacing w:after="60" w:before="60" w:line="240" w:lineRule="auto"/>
            </w:pPr>
            <w:r>
              <w:rPr>
                <w:rFonts w:eastAsia="Noto Sans CJK SC"/>
                <w:b w:val="0"/>
                <w:sz w:val="18"/>
              </w:rPr>
              <w:t>再次调用→切换→取证</w:t>
            </w:r>
          </w:p>
        </w:tc>
        <w:tc>
          <w:tcPr>
            <w:tcW w:type="dxa" w:w="1247"/>
            <w:vAlign w:val="center"/>
          </w:tcPr>
          <w:p>
            <w:pPr>
              <w:spacing w:after="60" w:before="60" w:line="240" w:lineRule="auto"/>
            </w:pPr>
            <w:r>
              <w:rPr>
                <w:rFonts w:eastAsia="Noto Sans CJK SC"/>
                <w:b w:val="0"/>
                <w:sz w:val="18"/>
              </w:rPr>
              <w:t>5.17%</w:t>
            </w:r>
          </w:p>
        </w:tc>
        <w:tc>
          <w:tcPr>
            <w:tcW w:type="dxa" w:w="1531"/>
            <w:vAlign w:val="center"/>
          </w:tcPr>
          <w:p>
            <w:pPr>
              <w:spacing w:after="60" w:before="60" w:line="240" w:lineRule="auto"/>
            </w:pPr>
            <w:r>
              <w:rPr>
                <w:rFonts w:eastAsia="Noto Sans CJK SC"/>
                <w:b w:val="0"/>
                <w:sz w:val="18"/>
              </w:rPr>
              <w:t>[1.67%,9.65%]</w:t>
            </w:r>
          </w:p>
        </w:tc>
        <w:tc>
          <w:tcPr>
            <w:tcW w:type="dxa" w:w="1984"/>
            <w:vAlign w:val="center"/>
          </w:tcPr>
          <w:p>
            <w:pPr>
              <w:spacing w:after="60" w:before="60" w:line="240" w:lineRule="auto"/>
            </w:pPr>
            <w:r>
              <w:rPr>
                <w:rFonts w:eastAsia="Noto Sans CJK SC"/>
                <w:b w:val="0"/>
                <w:sz w:val="18"/>
              </w:rPr>
              <w:t>3,406.2</w:t>
            </w:r>
          </w:p>
        </w:tc>
        <w:tc>
          <w:tcPr>
            <w:tcW w:type="dxa" w:w="2608"/>
            <w:vAlign w:val="center"/>
          </w:tcPr>
          <w:p>
            <w:pPr>
              <w:spacing w:after="60" w:before="60" w:line="240" w:lineRule="auto"/>
            </w:pPr>
            <w:r>
              <w:rPr>
                <w:rFonts w:eastAsia="Noto Sans CJK SC"/>
                <w:b w:val="0"/>
                <w:sz w:val="18"/>
              </w:rPr>
              <w:t>4.043</w:t>
            </w:r>
          </w:p>
        </w:tc>
      </w:tr>
      <w:tr>
        <w:trPr>
          <w:cantSplit/>
        </w:trPr>
        <w:tc>
          <w:tcPr>
            <w:tcW w:type="dxa" w:w="2154"/>
            <w:vAlign w:val="center"/>
          </w:tcPr>
          <w:p>
            <w:pPr>
              <w:spacing w:after="60" w:before="60" w:line="240" w:lineRule="auto"/>
            </w:pPr>
            <w:r>
              <w:rPr>
                <w:rFonts w:eastAsia="Noto Sans CJK SC"/>
                <w:b w:val="0"/>
                <w:sz w:val="18"/>
              </w:rPr>
              <w:t>四动作依次执行</w:t>
            </w:r>
          </w:p>
        </w:tc>
        <w:tc>
          <w:tcPr>
            <w:tcW w:type="dxa" w:w="1247"/>
            <w:vAlign w:val="center"/>
          </w:tcPr>
          <w:p>
            <w:pPr>
              <w:spacing w:after="60" w:before="60" w:line="240" w:lineRule="auto"/>
            </w:pPr>
            <w:r>
              <w:rPr>
                <w:rFonts w:eastAsia="Noto Sans CJK SC"/>
                <w:b w:val="0"/>
                <w:sz w:val="18"/>
              </w:rPr>
              <w:t>6.90%</w:t>
            </w:r>
          </w:p>
        </w:tc>
        <w:tc>
          <w:tcPr>
            <w:tcW w:type="dxa" w:w="1531"/>
            <w:vAlign w:val="center"/>
          </w:tcPr>
          <w:p>
            <w:pPr>
              <w:spacing w:after="60" w:before="60" w:line="240" w:lineRule="auto"/>
            </w:pPr>
            <w:r>
              <w:rPr>
                <w:rFonts w:eastAsia="Noto Sans CJK SC"/>
                <w:b w:val="0"/>
                <w:sz w:val="18"/>
              </w:rPr>
              <w:t>[2.56%,11.93%]</w:t>
            </w:r>
          </w:p>
        </w:tc>
        <w:tc>
          <w:tcPr>
            <w:tcW w:type="dxa" w:w="1984"/>
            <w:vAlign w:val="center"/>
          </w:tcPr>
          <w:p>
            <w:pPr>
              <w:spacing w:after="60" w:before="60" w:line="240" w:lineRule="auto"/>
            </w:pPr>
            <w:r>
              <w:rPr>
                <w:rFonts w:eastAsia="Noto Sans CJK SC"/>
                <w:b w:val="0"/>
                <w:sz w:val="18"/>
              </w:rPr>
              <w:t>6,332.3</w:t>
            </w:r>
          </w:p>
        </w:tc>
        <w:tc>
          <w:tcPr>
            <w:tcW w:type="dxa" w:w="2608"/>
            <w:vAlign w:val="center"/>
          </w:tcPr>
          <w:p>
            <w:pPr>
              <w:spacing w:after="60" w:before="60" w:line="240" w:lineRule="auto"/>
            </w:pPr>
            <w:r>
              <w:rPr>
                <w:rFonts w:eastAsia="Noto Sans CJK SC"/>
                <w:b w:val="0"/>
                <w:sz w:val="18"/>
              </w:rPr>
              <w:t>7.751</w:t>
            </w:r>
          </w:p>
        </w:tc>
      </w:tr>
      <w:tr>
        <w:trPr>
          <w:cantSplit/>
        </w:trPr>
        <w:tc>
          <w:tcPr>
            <w:tcW w:type="dxa" w:w="2154"/>
            <w:vAlign w:val="center"/>
          </w:tcPr>
          <w:p>
            <w:pPr>
              <w:spacing w:after="60" w:before="60" w:line="240" w:lineRule="auto"/>
            </w:pPr>
            <w:r>
              <w:rPr>
                <w:rFonts w:eastAsia="Noto Sans CJK SC"/>
                <w:b w:val="0"/>
                <w:sz w:val="18"/>
              </w:rPr>
              <w:t>当前动作并集 Oracle</w:t>
            </w:r>
          </w:p>
        </w:tc>
        <w:tc>
          <w:tcPr>
            <w:tcW w:type="dxa" w:w="1247"/>
            <w:vAlign w:val="center"/>
          </w:tcPr>
          <w:p>
            <w:pPr>
              <w:spacing w:after="60" w:before="60" w:line="240" w:lineRule="auto"/>
            </w:pPr>
            <w:r>
              <w:rPr>
                <w:rFonts w:eastAsia="Noto Sans CJK SC"/>
                <w:b w:val="0"/>
                <w:sz w:val="18"/>
              </w:rPr>
              <w:t>6.90%</w:t>
            </w:r>
          </w:p>
        </w:tc>
        <w:tc>
          <w:tcPr>
            <w:tcW w:type="dxa" w:w="1531"/>
            <w:vAlign w:val="center"/>
          </w:tcPr>
          <w:p>
            <w:pPr>
              <w:spacing w:after="60" w:before="60" w:line="240" w:lineRule="auto"/>
            </w:pPr>
            <w:r>
              <w:rPr>
                <w:rFonts w:eastAsia="Noto Sans CJK SC"/>
                <w:b w:val="0"/>
                <w:sz w:val="18"/>
              </w:rPr>
              <w:t>[2.56%,11.93%]</w:t>
            </w:r>
          </w:p>
        </w:tc>
        <w:tc>
          <w:tcPr>
            <w:tcW w:type="dxa" w:w="1984"/>
            <w:vAlign w:val="center"/>
          </w:tcPr>
          <w:p>
            <w:pPr>
              <w:spacing w:after="60" w:before="60" w:line="240" w:lineRule="auto"/>
            </w:pPr>
            <w:r>
              <w:rPr>
                <w:rFonts w:eastAsia="Noto Sans CJK SC"/>
                <w:b w:val="0"/>
                <w:sz w:val="18"/>
              </w:rPr>
              <w:t>不解释为可实现成本</w:t>
            </w:r>
          </w:p>
        </w:tc>
        <w:tc>
          <w:tcPr>
            <w:tcW w:type="dxa" w:w="2608"/>
            <w:vAlign w:val="center"/>
          </w:tcPr>
          <w:p>
            <w:pPr>
              <w:spacing w:after="60" w:before="60" w:line="240" w:lineRule="auto"/>
            </w:pPr>
            <w:r>
              <w:rPr>
                <w:rFonts w:eastAsia="Noto Sans CJK SC"/>
                <w:b w:val="0"/>
                <w:sz w:val="18"/>
              </w:rPr>
              <w:t>不解释为可实现时延</w:t>
            </w:r>
          </w:p>
        </w:tc>
      </w:tr>
    </w:tbl>
    <w:p>
      <w:pPr>
        <w:pStyle w:val="BodyText"/>
      </w:pPr>
      <w:r>
        <w:t xml:space="preserve">增加动作提高固定集合覆盖，但边际开销迅速增加。预算感知恢复的作用是限制可用动作并决定何时停止，而不是保证每次升级都有收益。</w:t>
      </w:r>
    </w:p>
    <w:p>
      <w:pPr>
        <w:pStyle w:val="Heading3"/>
      </w:pPr>
      <w:bookmarkStart w:id="60" w:name="历史任务图复用-1"/>
      <w:r>
        <w:t xml:space="preserve">5.8 历史任务图复用</w:t>
      </w:r>
      <w:bookmarkEnd w:id="60"/>
    </w:p>
    <w:p>
      <w:pPr>
        <w:pStyle w:val="FirstParagraph"/>
      </w:pPr>
      <w:r>
        <w:t xml:space="preserve">本实验检验修改型追问是否可以复用已有抽取，而只重算依赖变化事实的推理与验证。20 个案例分别将一个事实修改 10%，比较复用方案与重新执行逻辑节点基线。[E16]</w:t>
      </w:r>
    </w:p>
    <w:p>
      <w:pPr>
        <w:pStyle w:val="BodyText"/>
        <w:keepNext/>
        <w:spacing w:before="160"/>
      </w:pPr>
      <w:r>
        <w:t xml:space="preserve">表 5-15 历史图的修改型追问复用</w:t>
      </w:r>
    </w:p>
    <w:tbl>
      <w:tblPr>
        <w:tblStyle w:val="TableGrid"/>
        <w:tblW w:type="dxa" w:w="9524"/>
        <w:tblLayout w:type="fixed"/>
        <w:tblLook w:firstColumn="1" w:firstRow="1" w:lastColumn="0" w:lastRow="0" w:noHBand="0" w:noVBand="1" w:val="04A0"/>
      </w:tblPr>
      <w:tblGrid>
        <w:gridCol w:w="2381"/>
        <w:gridCol w:w="2835"/>
        <w:gridCol w:w="4309"/>
      </w:tblGrid>
      <w:tr>
        <w:trPr>
          <w:cantSplit/>
          <w:tblHeader/>
        </w:trPr>
        <w:tc>
          <w:tcPr>
            <w:tcW w:type="dxa" w:w="2381"/>
            <w:vAlign w:val="center"/>
            <w:shd w:fill="E8EDF2"/>
          </w:tcPr>
          <w:p>
            <w:pPr>
              <w:spacing w:after="60" w:before="60" w:line="240" w:lineRule="auto"/>
            </w:pPr>
            <w:r>
              <w:rPr>
                <w:rFonts w:eastAsia="Noto Sans CJK SC"/>
                <w:b/>
                <w:sz w:val="18"/>
              </w:rPr>
              <w:t>指标</w:t>
            </w:r>
          </w:p>
        </w:tc>
        <w:tc>
          <w:tcPr>
            <w:tcW w:type="dxa" w:w="2835"/>
            <w:vAlign w:val="center"/>
            <w:shd w:fill="E8EDF2"/>
          </w:tcPr>
          <w:p>
            <w:pPr>
              <w:spacing w:after="60" w:before="60" w:line="240" w:lineRule="auto"/>
            </w:pPr>
            <w:r>
              <w:rPr>
                <w:rFonts w:eastAsia="Noto Sans CJK SC"/>
                <w:b/>
                <w:sz w:val="18"/>
              </w:rPr>
              <w:t>结果</w:t>
            </w:r>
          </w:p>
        </w:tc>
        <w:tc>
          <w:tcPr>
            <w:tcW w:type="dxa" w:w="4309"/>
            <w:vAlign w:val="center"/>
            <w:shd w:fill="E8EDF2"/>
          </w:tcPr>
          <w:p>
            <w:pPr>
              <w:spacing w:after="60" w:before="60" w:line="240" w:lineRule="auto"/>
            </w:pPr>
            <w:r>
              <w:rPr>
                <w:rFonts w:eastAsia="Noto Sans CJK SC"/>
                <w:b/>
                <w:sz w:val="18"/>
              </w:rPr>
              <w:t>口径</w:t>
            </w:r>
          </w:p>
        </w:tc>
      </w:tr>
      <w:tr>
        <w:trPr>
          <w:cantSplit/>
        </w:trPr>
        <w:tc>
          <w:tcPr>
            <w:tcW w:type="dxa" w:w="2381"/>
            <w:vAlign w:val="center"/>
          </w:tcPr>
          <w:p>
            <w:pPr>
              <w:spacing w:after="60" w:before="60" w:line="240" w:lineRule="auto"/>
            </w:pPr>
            <w:r>
              <w:rPr>
                <w:rFonts w:eastAsia="Noto Sans CJK SC"/>
                <w:b w:val="0"/>
                <w:sz w:val="18"/>
              </w:rPr>
              <w:t>修改型追问数</w:t>
            </w:r>
          </w:p>
        </w:tc>
        <w:tc>
          <w:tcPr>
            <w:tcW w:type="dxa" w:w="2835"/>
            <w:vAlign w:val="center"/>
          </w:tcPr>
          <w:p>
            <w:pPr>
              <w:spacing w:after="60" w:before="60" w:line="240" w:lineRule="auto"/>
            </w:pPr>
            <w:r>
              <w:rPr>
                <w:rFonts w:eastAsia="Noto Sans CJK SC"/>
                <w:b w:val="0"/>
                <w:sz w:val="18"/>
              </w:rPr>
              <w:t>20</w:t>
            </w:r>
          </w:p>
        </w:tc>
        <w:tc>
          <w:tcPr>
            <w:tcW w:type="dxa" w:w="4309"/>
            <w:vAlign w:val="center"/>
          </w:tcPr>
          <w:p>
            <w:pPr>
              <w:spacing w:after="60" w:before="60" w:line="240" w:lineRule="auto"/>
            </w:pPr>
            <w:r>
              <w:rPr>
                <w:rFonts w:eastAsia="Noto Sans CJK SC"/>
                <w:b w:val="0"/>
                <w:sz w:val="18"/>
              </w:rPr>
              <w:t>特定受控追问负载</w:t>
            </w:r>
          </w:p>
        </w:tc>
      </w:tr>
      <w:tr>
        <w:trPr>
          <w:cantSplit/>
        </w:trPr>
        <w:tc>
          <w:tcPr>
            <w:tcW w:type="dxa" w:w="2381"/>
            <w:vAlign w:val="center"/>
          </w:tcPr>
          <w:p>
            <w:pPr>
              <w:spacing w:after="60" w:before="60" w:line="240" w:lineRule="auto"/>
            </w:pPr>
            <w:r>
              <w:rPr>
                <w:rFonts w:eastAsia="Noto Sans CJK SC"/>
                <w:b w:val="0"/>
                <w:sz w:val="18"/>
              </w:rPr>
              <w:t>复用抽取节点</w:t>
            </w:r>
          </w:p>
        </w:tc>
        <w:tc>
          <w:tcPr>
            <w:tcW w:type="dxa" w:w="2835"/>
            <w:vAlign w:val="center"/>
          </w:tcPr>
          <w:p>
            <w:pPr>
              <w:spacing w:after="60" w:before="60" w:line="240" w:lineRule="auto"/>
            </w:pPr>
            <w:r>
              <w:rPr>
                <w:rFonts w:eastAsia="Noto Sans CJK SC"/>
                <w:b w:val="0"/>
                <w:sz w:val="18"/>
              </w:rPr>
              <w:t>40</w:t>
            </w:r>
          </w:p>
        </w:tc>
        <w:tc>
          <w:tcPr>
            <w:tcW w:type="dxa" w:w="4309"/>
            <w:vAlign w:val="center"/>
          </w:tcPr>
          <w:p>
            <w:pPr>
              <w:spacing w:after="60" w:before="60" w:line="240" w:lineRule="auto"/>
            </w:pPr>
            <w:r>
              <w:rPr>
                <w:rFonts w:eastAsia="Noto Sans CJK SC"/>
                <w:b w:val="0"/>
                <w:sz w:val="18"/>
              </w:rPr>
              <w:t>逻辑节点计数</w:t>
            </w:r>
          </w:p>
        </w:tc>
      </w:tr>
      <w:tr>
        <w:trPr>
          <w:cantSplit/>
        </w:trPr>
        <w:tc>
          <w:tcPr>
            <w:tcW w:type="dxa" w:w="2381"/>
            <w:vAlign w:val="center"/>
          </w:tcPr>
          <w:p>
            <w:pPr>
              <w:spacing w:after="60" w:before="60" w:line="240" w:lineRule="auto"/>
            </w:pPr>
            <w:r>
              <w:rPr>
                <w:rFonts w:eastAsia="Noto Sans CJK SC"/>
                <w:b w:val="0"/>
                <w:sz w:val="18"/>
              </w:rPr>
              <w:t>复用后的新调用</w:t>
            </w:r>
          </w:p>
        </w:tc>
        <w:tc>
          <w:tcPr>
            <w:tcW w:type="dxa" w:w="2835"/>
            <w:vAlign w:val="center"/>
          </w:tcPr>
          <w:p>
            <w:pPr>
              <w:spacing w:after="60" w:before="60" w:line="240" w:lineRule="auto"/>
            </w:pPr>
            <w:r>
              <w:rPr>
                <w:rFonts w:eastAsia="Noto Sans CJK SC"/>
                <w:b w:val="0"/>
                <w:sz w:val="18"/>
              </w:rPr>
              <w:t>40</w:t>
            </w:r>
          </w:p>
        </w:tc>
        <w:tc>
          <w:tcPr>
            <w:tcW w:type="dxa" w:w="4309"/>
            <w:vAlign w:val="center"/>
          </w:tcPr>
          <w:p>
            <w:pPr>
              <w:spacing w:after="60" w:before="60" w:line="240" w:lineRule="auto"/>
            </w:pPr>
            <w:r>
              <w:rPr>
                <w:rFonts w:eastAsia="Noto Sans CJK SC"/>
                <w:b w:val="0"/>
                <w:sz w:val="18"/>
              </w:rPr>
              <w:t>推理与验证</w:t>
            </w:r>
          </w:p>
        </w:tc>
      </w:tr>
      <w:tr>
        <w:trPr>
          <w:cantSplit/>
        </w:trPr>
        <w:tc>
          <w:tcPr>
            <w:tcW w:type="dxa" w:w="2381"/>
            <w:vAlign w:val="center"/>
          </w:tcPr>
          <w:p>
            <w:pPr>
              <w:spacing w:after="60" w:before="60" w:line="240" w:lineRule="auto"/>
            </w:pPr>
            <w:r>
              <w:rPr>
                <w:rFonts w:eastAsia="Noto Sans CJK SC"/>
                <w:b w:val="0"/>
                <w:sz w:val="18"/>
              </w:rPr>
              <w:t>重新执行基线调用</w:t>
            </w:r>
          </w:p>
        </w:tc>
        <w:tc>
          <w:tcPr>
            <w:tcW w:type="dxa" w:w="2835"/>
            <w:vAlign w:val="center"/>
          </w:tcPr>
          <w:p>
            <w:pPr>
              <w:spacing w:after="60" w:before="60" w:line="240" w:lineRule="auto"/>
            </w:pPr>
            <w:r>
              <w:rPr>
                <w:rFonts w:eastAsia="Noto Sans CJK SC"/>
                <w:b w:val="0"/>
                <w:sz w:val="18"/>
              </w:rPr>
              <w:t>80</w:t>
            </w:r>
          </w:p>
        </w:tc>
        <w:tc>
          <w:tcPr>
            <w:tcW w:type="dxa" w:w="4309"/>
            <w:vAlign w:val="center"/>
          </w:tcPr>
          <w:p>
            <w:pPr>
              <w:spacing w:after="60" w:before="60" w:line="240" w:lineRule="auto"/>
            </w:pPr>
            <w:r>
              <w:rPr>
                <w:rFonts w:eastAsia="Noto Sans CJK SC"/>
                <w:b w:val="0"/>
                <w:sz w:val="18"/>
              </w:rPr>
              <w:t>逻辑执行需求</w:t>
            </w:r>
          </w:p>
        </w:tc>
      </w:tr>
      <w:tr>
        <w:trPr>
          <w:cantSplit/>
        </w:trPr>
        <w:tc>
          <w:tcPr>
            <w:tcW w:type="dxa" w:w="2381"/>
            <w:vAlign w:val="center"/>
          </w:tcPr>
          <w:p>
            <w:pPr>
              <w:spacing w:after="60" w:before="60" w:line="240" w:lineRule="auto"/>
            </w:pPr>
            <w:r>
              <w:rPr>
                <w:rFonts w:eastAsia="Noto Sans CJK SC"/>
                <w:b w:val="0"/>
                <w:sz w:val="18"/>
              </w:rPr>
              <w:t>复用率、调用减少率</w:t>
            </w:r>
          </w:p>
        </w:tc>
        <w:tc>
          <w:tcPr>
            <w:tcW w:type="dxa" w:w="2835"/>
            <w:vAlign w:val="center"/>
          </w:tcPr>
          <w:p>
            <w:pPr>
              <w:spacing w:after="60" w:before="60" w:line="240" w:lineRule="auto"/>
            </w:pPr>
            <w:r>
              <w:rPr>
                <w:rFonts w:eastAsia="Noto Sans CJK SC"/>
                <w:b w:val="0"/>
                <w:sz w:val="18"/>
              </w:rPr>
              <w:t>均为 50%</w:t>
            </w:r>
          </w:p>
        </w:tc>
        <w:tc>
          <w:tcPr>
            <w:tcW w:type="dxa" w:w="4309"/>
            <w:vAlign w:val="center"/>
          </w:tcPr>
          <w:p>
            <w:pPr>
              <w:spacing w:after="60" w:before="60" w:line="240" w:lineRule="auto"/>
            </w:pPr>
            <w:r>
              <w:rPr>
                <w:rFonts w:eastAsia="Noto Sans CJK SC"/>
                <w:b w:val="0"/>
                <w:sz w:val="18"/>
              </w:rPr>
              <w:t>同一节点需求口径</w:t>
            </w:r>
          </w:p>
        </w:tc>
      </w:tr>
      <w:tr>
        <w:trPr>
          <w:cantSplit/>
        </w:trPr>
        <w:tc>
          <w:tcPr>
            <w:tcW w:type="dxa" w:w="2381"/>
            <w:vAlign w:val="center"/>
          </w:tcPr>
          <w:p>
            <w:pPr>
              <w:spacing w:after="60" w:before="60" w:line="240" w:lineRule="auto"/>
            </w:pPr>
            <w:r>
              <w:rPr>
                <w:rFonts w:eastAsia="Noto Sans CJK SC"/>
                <w:b w:val="0"/>
                <w:sz w:val="18"/>
              </w:rPr>
              <w:t>token 减少率</w:t>
            </w:r>
          </w:p>
        </w:tc>
        <w:tc>
          <w:tcPr>
            <w:tcW w:type="dxa" w:w="2835"/>
            <w:vAlign w:val="center"/>
          </w:tcPr>
          <w:p>
            <w:pPr>
              <w:spacing w:after="60" w:before="60" w:line="240" w:lineRule="auto"/>
            </w:pPr>
            <w:r>
              <w:rPr>
                <w:rFonts w:eastAsia="Noto Sans CJK SC"/>
                <w:b w:val="0"/>
                <w:sz w:val="18"/>
              </w:rPr>
              <w:t>91.4%</w:t>
            </w:r>
          </w:p>
        </w:tc>
        <w:tc>
          <w:tcPr>
            <w:tcW w:type="dxa" w:w="4309"/>
            <w:vAlign w:val="center"/>
          </w:tcPr>
          <w:p>
            <w:pPr>
              <w:spacing w:after="60" w:before="60" w:line="240" w:lineRule="auto"/>
            </w:pPr>
            <w:r>
              <w:rPr>
                <w:rFonts w:eastAsia="Noto Sans CJK SC"/>
                <w:b w:val="0"/>
                <w:sz w:val="18"/>
              </w:rPr>
              <w:t>既有基线调用量与新调用记录比较</w:t>
            </w:r>
          </w:p>
        </w:tc>
      </w:tr>
      <w:tr>
        <w:trPr>
          <w:cantSplit/>
        </w:trPr>
        <w:tc>
          <w:tcPr>
            <w:tcW w:type="dxa" w:w="2381"/>
            <w:vAlign w:val="center"/>
          </w:tcPr>
          <w:p>
            <w:pPr>
              <w:spacing w:after="60" w:before="60" w:line="240" w:lineRule="auto"/>
            </w:pPr>
            <w:r>
              <w:rPr>
                <w:rFonts w:eastAsia="Noto Sans CJK SC"/>
                <w:b w:val="0"/>
                <w:sz w:val="18"/>
              </w:rPr>
              <w:t>可执行且响应修改</w:t>
            </w:r>
          </w:p>
        </w:tc>
        <w:tc>
          <w:tcPr>
            <w:tcW w:type="dxa" w:w="2835"/>
            <w:vAlign w:val="center"/>
          </w:tcPr>
          <w:p>
            <w:pPr>
              <w:spacing w:after="60" w:before="60" w:line="240" w:lineRule="auto"/>
            </w:pPr>
            <w:r>
              <w:rPr>
                <w:rFonts w:eastAsia="Noto Sans CJK SC"/>
                <w:b w:val="0"/>
                <w:sz w:val="18"/>
              </w:rPr>
              <w:t>19/20</w:t>
            </w:r>
          </w:p>
        </w:tc>
        <w:tc>
          <w:tcPr>
            <w:tcW w:type="dxa" w:w="4309"/>
            <w:vAlign w:val="center"/>
          </w:tcPr>
          <w:p>
            <w:pPr>
              <w:spacing w:after="60" w:before="60" w:line="240" w:lineRule="auto"/>
            </w:pPr>
            <w:r>
              <w:rPr>
                <w:rFonts w:eastAsia="Noto Sans CJK SC"/>
                <w:b w:val="0"/>
                <w:sz w:val="18"/>
              </w:rPr>
              <w:t>执行及数值响应，不是答案正确率</w:t>
            </w:r>
          </w:p>
        </w:tc>
      </w:tr>
      <w:tr>
        <w:trPr>
          <w:cantSplit/>
        </w:trPr>
        <w:tc>
          <w:tcPr>
            <w:tcW w:type="dxa" w:w="2381"/>
            <w:vAlign w:val="center"/>
          </w:tcPr>
          <w:p>
            <w:pPr>
              <w:spacing w:after="60" w:before="60" w:line="240" w:lineRule="auto"/>
            </w:pPr>
            <w:r>
              <w:rPr>
                <w:rFonts w:eastAsia="Noto Sans CJK SC"/>
                <w:b w:val="0"/>
                <w:sz w:val="18"/>
              </w:rPr>
              <w:t>验证器接受</w:t>
            </w:r>
          </w:p>
        </w:tc>
        <w:tc>
          <w:tcPr>
            <w:tcW w:type="dxa" w:w="2835"/>
            <w:vAlign w:val="center"/>
          </w:tcPr>
          <w:p>
            <w:pPr>
              <w:spacing w:after="60" w:before="60" w:line="240" w:lineRule="auto"/>
            </w:pPr>
            <w:r>
              <w:rPr>
                <w:rFonts w:eastAsia="Noto Sans CJK SC"/>
                <w:b w:val="0"/>
                <w:sz w:val="18"/>
              </w:rPr>
              <w:t>0/20</w:t>
            </w:r>
          </w:p>
        </w:tc>
        <w:tc>
          <w:tcPr>
            <w:tcW w:type="dxa" w:w="4309"/>
            <w:vAlign w:val="center"/>
          </w:tcPr>
          <w:p>
            <w:pPr>
              <w:spacing w:after="60" w:before="60" w:line="240" w:lineRule="auto"/>
            </w:pPr>
            <w:r>
              <w:rPr>
                <w:rFonts w:eastAsia="Noto Sans CJK SC"/>
                <w:b w:val="0"/>
                <w:sz w:val="18"/>
              </w:rPr>
              <w:t>不支持最终质量已获确认</w:t>
            </w:r>
          </w:p>
        </w:tc>
      </w:tr>
    </w:tbl>
    <w:p>
      <w:pPr>
        <w:pStyle w:val="BodyText"/>
      </w:pPr>
      <w:r>
        <w:t xml:space="preserve">较大的 token 降幅来自避免重复处理抽取长上下文，而不只是调用次数减半。该结果支持历史图减少重复执行的机制，但基线为逻辑重执行需求，不能等同于所有物理缓存与批处理条件下的账单节省。19/20 只能说明流程可执行且结果随修改变化，不能写成 95% 多轮任务成功率。</w:t>
      </w:r>
    </w:p>
    <w:p>
      <w:pPr>
        <w:pStyle w:val="BodyText"/>
      </w:pPr>
      <w:r>
        <w:t xml:space="preserve">版本化修改在小型原型中已保存输入变化与依赖重算。一般语义检索、大规模子图剪枝和长期质量保持没有相应实验证据，本文不作肯定结论。</w:t>
      </w:r>
    </w:p>
    <w:p>
      <w:pPr>
        <w:pStyle w:val="Heading3"/>
      </w:pPr>
      <w:bookmarkStart w:id="61" w:name="多目标与剩余预算分析"/>
      <w:r>
        <w:t xml:space="preserve">5.9 多目标与剩余预算分析</w:t>
      </w:r>
      <w:bookmarkEnd w:id="61"/>
    </w:p>
    <w:p>
      <w:pPr>
        <w:pStyle w:val="FirstParagraph"/>
      </w:pPr>
      <w:r>
        <w:t xml:space="preserve">预算响应面使用 116 个真实失败节点的四类既有动作记录，在 11 个 token 档位与 7 个时长档位上评估，共 77 个预算组合。[E17] 对每个动作，若其已测开销超出剩余资源则跳过，否则计入消耗；一旦离线评分成功即停止。因此结果是已知动作开销和成功状态的条件化预算分析。</w:t>
      </w:r>
    </w:p>
    <w:p>
      <w:pPr>
        <w:pStyle w:val="BodyText"/>
        <w:keepNext/>
        <w:spacing w:before="160"/>
      </w:pPr>
      <w:r>
        <w:t xml:space="preserve">表 5-16 剩余预算与恢复质量</w:t>
      </w:r>
    </w:p>
    <w:tbl>
      <w:tblPr>
        <w:tblStyle w:val="TableGrid"/>
        <w:tblW w:type="dxa" w:w="9524"/>
        <w:tblLayout w:type="fixed"/>
        <w:tblLook w:firstColumn="1" w:firstRow="1" w:lastColumn="0" w:lastRow="0" w:noHBand="0" w:noVBand="1" w:val="04A0"/>
      </w:tblPr>
      <w:tblGrid>
        <w:gridCol w:w="2154"/>
        <w:gridCol w:w="1247"/>
        <w:gridCol w:w="1531"/>
        <w:gridCol w:w="1984"/>
        <w:gridCol w:w="2608"/>
      </w:tblGrid>
      <w:tr>
        <w:trPr>
          <w:cantSplit/>
          <w:tblHeader/>
        </w:trPr>
        <w:tc>
          <w:tcPr>
            <w:tcW w:type="dxa" w:w="2154"/>
            <w:vAlign w:val="center"/>
            <w:shd w:fill="E8EDF2"/>
          </w:tcPr>
          <w:p>
            <w:pPr>
              <w:spacing w:after="60" w:before="60" w:line="240" w:lineRule="auto"/>
            </w:pPr>
            <w:r>
              <w:rPr>
                <w:rFonts w:eastAsia="Noto Sans CJK SC"/>
                <w:b/>
                <w:sz w:val="18"/>
              </w:rPr>
              <w:t>token 预算</w:t>
            </w:r>
          </w:p>
        </w:tc>
        <w:tc>
          <w:tcPr>
            <w:tcW w:type="dxa" w:w="1247"/>
            <w:vAlign w:val="center"/>
            <w:shd w:fill="E8EDF2"/>
          </w:tcPr>
          <w:p>
            <w:pPr>
              <w:spacing w:after="60" w:before="60" w:line="240" w:lineRule="auto"/>
            </w:pPr>
            <w:r>
              <w:rPr>
                <w:rFonts w:eastAsia="Noto Sans CJK SC"/>
                <w:b/>
                <w:sz w:val="18"/>
              </w:rPr>
              <w:t>服务时长预算（秒）</w:t>
            </w:r>
          </w:p>
        </w:tc>
        <w:tc>
          <w:tcPr>
            <w:tcW w:type="dxa" w:w="1531"/>
            <w:vAlign w:val="center"/>
            <w:shd w:fill="E8EDF2"/>
          </w:tcPr>
          <w:p>
            <w:pPr>
              <w:spacing w:after="60" w:before="60" w:line="240" w:lineRule="auto"/>
            </w:pPr>
            <w:r>
              <w:rPr>
                <w:rFonts w:eastAsia="Noto Sans CJK SC"/>
                <w:b/>
                <w:sz w:val="18"/>
              </w:rPr>
              <w:t>四动作顺序策略恢复率</w:t>
            </w:r>
          </w:p>
        </w:tc>
        <w:tc>
          <w:tcPr>
            <w:tcW w:type="dxa" w:w="1984"/>
            <w:vAlign w:val="center"/>
            <w:shd w:fill="E8EDF2"/>
          </w:tcPr>
          <w:p>
            <w:pPr>
              <w:spacing w:after="60" w:before="60" w:line="240" w:lineRule="auto"/>
            </w:pPr>
            <w:r>
              <w:rPr>
                <w:rFonts w:eastAsia="Noto Sans CJK SC"/>
                <w:b/>
                <w:sz w:val="18"/>
              </w:rPr>
              <w:t>同预算 Oracle</w:t>
            </w:r>
          </w:p>
        </w:tc>
        <w:tc>
          <w:tcPr>
            <w:tcW w:type="dxa" w:w="2608"/>
            <w:vAlign w:val="center"/>
            <w:shd w:fill="E8EDF2"/>
          </w:tcPr>
          <w:p>
            <w:pPr>
              <w:spacing w:after="60" w:before="60" w:line="240" w:lineRule="auto"/>
            </w:pPr>
            <w:r>
              <w:rPr>
                <w:rFonts w:eastAsia="Noto Sans CJK SC"/>
                <w:b/>
                <w:sz w:val="18"/>
              </w:rPr>
              <w:t>遗憾</w:t>
            </w:r>
          </w:p>
        </w:tc>
      </w:tr>
      <w:tr>
        <w:trPr>
          <w:cantSplit/>
        </w:trPr>
        <w:tc>
          <w:tcPr>
            <w:tcW w:type="dxa" w:w="2154"/>
            <w:vAlign w:val="center"/>
          </w:tcPr>
          <w:p>
            <w:pPr>
              <w:spacing w:after="60" w:before="60" w:line="240" w:lineRule="auto"/>
            </w:pPr>
            <w:r>
              <w:rPr>
                <w:rFonts w:eastAsia="Noto Sans CJK SC"/>
                <w:b w:val="0"/>
                <w:sz w:val="18"/>
              </w:rPr>
              <w:t>500</w:t>
            </w:r>
          </w:p>
        </w:tc>
        <w:tc>
          <w:tcPr>
            <w:tcW w:type="dxa" w:w="1247"/>
            <w:vAlign w:val="center"/>
          </w:tcPr>
          <w:p>
            <w:pPr>
              <w:spacing w:after="60" w:before="60" w:line="240" w:lineRule="auto"/>
            </w:pPr>
            <w:r>
              <w:rPr>
                <w:rFonts w:eastAsia="Noto Sans CJK SC"/>
                <w:b w:val="0"/>
                <w:sz w:val="18"/>
              </w:rPr>
              <w:t>1</w:t>
            </w:r>
          </w:p>
        </w:tc>
        <w:tc>
          <w:tcPr>
            <w:tcW w:type="dxa" w:w="1531"/>
            <w:vAlign w:val="center"/>
          </w:tcPr>
          <w:p>
            <w:pPr>
              <w:spacing w:after="60" w:before="60" w:line="240" w:lineRule="auto"/>
            </w:pPr>
            <w:r>
              <w:rPr>
                <w:rFonts w:eastAsia="Noto Sans CJK SC"/>
                <w:b w:val="0"/>
                <w:sz w:val="18"/>
              </w:rPr>
              <w:t>2.59%</w:t>
            </w:r>
          </w:p>
        </w:tc>
        <w:tc>
          <w:tcPr>
            <w:tcW w:type="dxa" w:w="1984"/>
            <w:vAlign w:val="center"/>
          </w:tcPr>
          <w:p>
            <w:pPr>
              <w:spacing w:after="60" w:before="60" w:line="240" w:lineRule="auto"/>
            </w:pPr>
            <w:r>
              <w:rPr>
                <w:rFonts w:eastAsia="Noto Sans CJK SC"/>
                <w:b w:val="0"/>
                <w:sz w:val="18"/>
              </w:rPr>
              <w:t>3.45%</w:t>
            </w:r>
          </w:p>
        </w:tc>
        <w:tc>
          <w:tcPr>
            <w:tcW w:type="dxa" w:w="2608"/>
            <w:vAlign w:val="center"/>
          </w:tcPr>
          <w:p>
            <w:pPr>
              <w:spacing w:after="60" w:before="60" w:line="240" w:lineRule="auto"/>
            </w:pPr>
            <w:r>
              <w:rPr>
                <w:rFonts w:eastAsia="Noto Sans CJK SC"/>
                <w:b w:val="0"/>
                <w:sz w:val="18"/>
              </w:rPr>
              <w:t>0.86 个百分点</w:t>
            </w:r>
          </w:p>
        </w:tc>
      </w:tr>
      <w:tr>
        <w:trPr>
          <w:cantSplit/>
        </w:trPr>
        <w:tc>
          <w:tcPr>
            <w:tcW w:type="dxa" w:w="2154"/>
            <w:vAlign w:val="center"/>
          </w:tcPr>
          <w:p>
            <w:pPr>
              <w:spacing w:after="60" w:before="60" w:line="240" w:lineRule="auto"/>
            </w:pPr>
            <w:r>
              <w:rPr>
                <w:rFonts w:eastAsia="Noto Sans CJK SC"/>
                <w:b w:val="0"/>
                <w:sz w:val="18"/>
              </w:rPr>
              <w:t>1,000</w:t>
            </w:r>
          </w:p>
        </w:tc>
        <w:tc>
          <w:tcPr>
            <w:tcW w:type="dxa" w:w="1247"/>
            <w:vAlign w:val="center"/>
          </w:tcPr>
          <w:p>
            <w:pPr>
              <w:spacing w:after="60" w:before="60" w:line="240" w:lineRule="auto"/>
            </w:pPr>
            <w:r>
              <w:rPr>
                <w:rFonts w:eastAsia="Noto Sans CJK SC"/>
                <w:b w:val="0"/>
                <w:sz w:val="18"/>
              </w:rPr>
              <w:t>2</w:t>
            </w:r>
          </w:p>
        </w:tc>
        <w:tc>
          <w:tcPr>
            <w:tcW w:type="dxa" w:w="1531"/>
            <w:vAlign w:val="center"/>
          </w:tcPr>
          <w:p>
            <w:pPr>
              <w:spacing w:after="60" w:before="60" w:line="240" w:lineRule="auto"/>
            </w:pPr>
            <w:r>
              <w:rPr>
                <w:rFonts w:eastAsia="Noto Sans CJK SC"/>
                <w:b w:val="0"/>
                <w:sz w:val="18"/>
              </w:rPr>
              <w:t>3.45%</w:t>
            </w:r>
          </w:p>
        </w:tc>
        <w:tc>
          <w:tcPr>
            <w:tcW w:type="dxa" w:w="1984"/>
            <w:vAlign w:val="center"/>
          </w:tcPr>
          <w:p>
            <w:pPr>
              <w:spacing w:after="60" w:before="60" w:line="240" w:lineRule="auto"/>
            </w:pPr>
            <w:r>
              <w:rPr>
                <w:rFonts w:eastAsia="Noto Sans CJK SC"/>
                <w:b w:val="0"/>
                <w:sz w:val="18"/>
              </w:rPr>
              <w:t>4.31%</w:t>
            </w:r>
          </w:p>
        </w:tc>
        <w:tc>
          <w:tcPr>
            <w:tcW w:type="dxa" w:w="2608"/>
            <w:vAlign w:val="center"/>
          </w:tcPr>
          <w:p>
            <w:pPr>
              <w:spacing w:after="60" w:before="60" w:line="240" w:lineRule="auto"/>
            </w:pPr>
            <w:r>
              <w:rPr>
                <w:rFonts w:eastAsia="Noto Sans CJK SC"/>
                <w:b w:val="0"/>
                <w:sz w:val="18"/>
              </w:rPr>
              <w:t>0.86 个百分点</w:t>
            </w:r>
          </w:p>
        </w:tc>
      </w:tr>
      <w:tr>
        <w:trPr>
          <w:cantSplit/>
        </w:trPr>
        <w:tc>
          <w:tcPr>
            <w:tcW w:type="dxa" w:w="2154"/>
            <w:vAlign w:val="center"/>
          </w:tcPr>
          <w:p>
            <w:pPr>
              <w:spacing w:after="60" w:before="60" w:line="240" w:lineRule="auto"/>
            </w:pPr>
            <w:r>
              <w:rPr>
                <w:rFonts w:eastAsia="Noto Sans CJK SC"/>
                <w:b w:val="0"/>
                <w:sz w:val="18"/>
              </w:rPr>
              <w:t>2,000</w:t>
            </w:r>
          </w:p>
        </w:tc>
        <w:tc>
          <w:tcPr>
            <w:tcW w:type="dxa" w:w="1247"/>
            <w:vAlign w:val="center"/>
          </w:tcPr>
          <w:p>
            <w:pPr>
              <w:spacing w:after="60" w:before="60" w:line="240" w:lineRule="auto"/>
            </w:pPr>
            <w:r>
              <w:rPr>
                <w:rFonts w:eastAsia="Noto Sans CJK SC"/>
                <w:b w:val="0"/>
                <w:sz w:val="18"/>
              </w:rPr>
              <w:t>3</w:t>
            </w:r>
          </w:p>
        </w:tc>
        <w:tc>
          <w:tcPr>
            <w:tcW w:type="dxa" w:w="1531"/>
            <w:vAlign w:val="center"/>
          </w:tcPr>
          <w:p>
            <w:pPr>
              <w:spacing w:after="60" w:before="60" w:line="240" w:lineRule="auto"/>
            </w:pPr>
            <w:r>
              <w:rPr>
                <w:rFonts w:eastAsia="Noto Sans CJK SC"/>
                <w:b w:val="0"/>
                <w:sz w:val="18"/>
              </w:rPr>
              <w:t>4.31%</w:t>
            </w:r>
          </w:p>
        </w:tc>
        <w:tc>
          <w:tcPr>
            <w:tcW w:type="dxa" w:w="1984"/>
            <w:vAlign w:val="center"/>
          </w:tcPr>
          <w:p>
            <w:pPr>
              <w:spacing w:after="60" w:before="60" w:line="240" w:lineRule="auto"/>
            </w:pPr>
            <w:r>
              <w:rPr>
                <w:rFonts w:eastAsia="Noto Sans CJK SC"/>
                <w:b w:val="0"/>
                <w:sz w:val="18"/>
              </w:rPr>
              <w:t>5.17%</w:t>
            </w:r>
          </w:p>
        </w:tc>
        <w:tc>
          <w:tcPr>
            <w:tcW w:type="dxa" w:w="2608"/>
            <w:vAlign w:val="center"/>
          </w:tcPr>
          <w:p>
            <w:pPr>
              <w:spacing w:after="60" w:before="60" w:line="240" w:lineRule="auto"/>
            </w:pPr>
            <w:r>
              <w:rPr>
                <w:rFonts w:eastAsia="Noto Sans CJK SC"/>
                <w:b w:val="0"/>
                <w:sz w:val="18"/>
              </w:rPr>
              <w:t>0.86 个百分点</w:t>
            </w:r>
          </w:p>
        </w:tc>
      </w:tr>
      <w:tr>
        <w:trPr>
          <w:cantSplit/>
        </w:trPr>
        <w:tc>
          <w:tcPr>
            <w:tcW w:type="dxa" w:w="2154"/>
            <w:vAlign w:val="center"/>
          </w:tcPr>
          <w:p>
            <w:pPr>
              <w:spacing w:after="60" w:before="60" w:line="240" w:lineRule="auto"/>
            </w:pPr>
            <w:r>
              <w:rPr>
                <w:rFonts w:eastAsia="Noto Sans CJK SC"/>
                <w:b w:val="0"/>
                <w:sz w:val="18"/>
              </w:rPr>
              <w:t>3,000</w:t>
            </w:r>
          </w:p>
        </w:tc>
        <w:tc>
          <w:tcPr>
            <w:tcW w:type="dxa" w:w="1247"/>
            <w:vAlign w:val="center"/>
          </w:tcPr>
          <w:p>
            <w:pPr>
              <w:spacing w:after="60" w:before="60" w:line="240" w:lineRule="auto"/>
            </w:pPr>
            <w:r>
              <w:rPr>
                <w:rFonts w:eastAsia="Noto Sans CJK SC"/>
                <w:b w:val="0"/>
                <w:sz w:val="18"/>
              </w:rPr>
              <w:t>3</w:t>
            </w:r>
          </w:p>
        </w:tc>
        <w:tc>
          <w:tcPr>
            <w:tcW w:type="dxa" w:w="1531"/>
            <w:vAlign w:val="center"/>
          </w:tcPr>
          <w:p>
            <w:pPr>
              <w:spacing w:after="60" w:before="60" w:line="240" w:lineRule="auto"/>
            </w:pPr>
            <w:r>
              <w:rPr>
                <w:rFonts w:eastAsia="Noto Sans CJK SC"/>
                <w:b w:val="0"/>
                <w:sz w:val="18"/>
              </w:rPr>
              <w:t>5.17%</w:t>
            </w:r>
          </w:p>
        </w:tc>
        <w:tc>
          <w:tcPr>
            <w:tcW w:type="dxa" w:w="1984"/>
            <w:vAlign w:val="center"/>
          </w:tcPr>
          <w:p>
            <w:pPr>
              <w:spacing w:after="60" w:before="60" w:line="240" w:lineRule="auto"/>
            </w:pPr>
            <w:r>
              <w:rPr>
                <w:rFonts w:eastAsia="Noto Sans CJK SC"/>
                <w:b w:val="0"/>
                <w:sz w:val="18"/>
              </w:rPr>
              <w:t>5.17%</w:t>
            </w:r>
          </w:p>
        </w:tc>
        <w:tc>
          <w:tcPr>
            <w:tcW w:type="dxa" w:w="2608"/>
            <w:vAlign w:val="center"/>
          </w:tcPr>
          <w:p>
            <w:pPr>
              <w:spacing w:after="60" w:before="60" w:line="240" w:lineRule="auto"/>
            </w:pPr>
            <w:r>
              <w:rPr>
                <w:rFonts w:eastAsia="Noto Sans CJK SC"/>
                <w:b w:val="0"/>
                <w:sz w:val="18"/>
              </w:rPr>
              <w:t>0</w:t>
            </w:r>
          </w:p>
        </w:tc>
      </w:tr>
      <w:tr>
        <w:trPr>
          <w:cantSplit/>
        </w:trPr>
        <w:tc>
          <w:tcPr>
            <w:tcW w:type="dxa" w:w="2154"/>
            <w:vAlign w:val="center"/>
          </w:tcPr>
          <w:p>
            <w:pPr>
              <w:spacing w:after="60" w:before="60" w:line="240" w:lineRule="auto"/>
            </w:pPr>
            <w:r>
              <w:rPr>
                <w:rFonts w:eastAsia="Noto Sans CJK SC"/>
                <w:b w:val="0"/>
                <w:sz w:val="18"/>
              </w:rPr>
              <w:t>4,500</w:t>
            </w:r>
          </w:p>
        </w:tc>
        <w:tc>
          <w:tcPr>
            <w:tcW w:type="dxa" w:w="1247"/>
            <w:vAlign w:val="center"/>
          </w:tcPr>
          <w:p>
            <w:pPr>
              <w:spacing w:after="60" w:before="60" w:line="240" w:lineRule="auto"/>
            </w:pPr>
            <w:r>
              <w:rPr>
                <w:rFonts w:eastAsia="Noto Sans CJK SC"/>
                <w:b w:val="0"/>
                <w:sz w:val="18"/>
              </w:rPr>
              <w:t>8</w:t>
            </w:r>
          </w:p>
        </w:tc>
        <w:tc>
          <w:tcPr>
            <w:tcW w:type="dxa" w:w="1531"/>
            <w:vAlign w:val="center"/>
          </w:tcPr>
          <w:p>
            <w:pPr>
              <w:spacing w:after="60" w:before="60" w:line="240" w:lineRule="auto"/>
            </w:pPr>
            <w:r>
              <w:rPr>
                <w:rFonts w:eastAsia="Noto Sans CJK SC"/>
                <w:b w:val="0"/>
                <w:sz w:val="18"/>
              </w:rPr>
              <w:t>6.03%</w:t>
            </w:r>
          </w:p>
        </w:tc>
        <w:tc>
          <w:tcPr>
            <w:tcW w:type="dxa" w:w="1984"/>
            <w:vAlign w:val="center"/>
          </w:tcPr>
          <w:p>
            <w:pPr>
              <w:spacing w:after="60" w:before="60" w:line="240" w:lineRule="auto"/>
            </w:pPr>
            <w:r>
              <w:rPr>
                <w:rFonts w:eastAsia="Noto Sans CJK SC"/>
                <w:b w:val="0"/>
                <w:sz w:val="18"/>
              </w:rPr>
              <w:t>6.90%</w:t>
            </w:r>
          </w:p>
        </w:tc>
        <w:tc>
          <w:tcPr>
            <w:tcW w:type="dxa" w:w="2608"/>
            <w:vAlign w:val="center"/>
          </w:tcPr>
          <w:p>
            <w:pPr>
              <w:spacing w:after="60" w:before="60" w:line="240" w:lineRule="auto"/>
            </w:pPr>
            <w:r>
              <w:rPr>
                <w:rFonts w:eastAsia="Noto Sans CJK SC"/>
                <w:b w:val="0"/>
                <w:sz w:val="18"/>
              </w:rPr>
              <w:t>0.87 个百分点</w:t>
            </w:r>
          </w:p>
        </w:tc>
      </w:tr>
      <w:tr>
        <w:trPr>
          <w:cantSplit/>
        </w:trPr>
        <w:tc>
          <w:tcPr>
            <w:tcW w:type="dxa" w:w="2154"/>
            <w:vAlign w:val="center"/>
          </w:tcPr>
          <w:p>
            <w:pPr>
              <w:spacing w:after="60" w:before="60" w:line="240" w:lineRule="auto"/>
            </w:pPr>
            <w:r>
              <w:rPr>
                <w:rFonts w:eastAsia="Noto Sans CJK SC"/>
                <w:b w:val="0"/>
                <w:sz w:val="18"/>
              </w:rPr>
              <w:t>不设上限</w:t>
            </w:r>
          </w:p>
        </w:tc>
        <w:tc>
          <w:tcPr>
            <w:tcW w:type="dxa" w:w="1247"/>
            <w:vAlign w:val="center"/>
          </w:tcPr>
          <w:p>
            <w:pPr>
              <w:spacing w:after="60" w:before="60" w:line="240" w:lineRule="auto"/>
            </w:pPr>
            <w:r>
              <w:rPr>
                <w:rFonts w:eastAsia="Noto Sans CJK SC"/>
                <w:b w:val="0"/>
                <w:sz w:val="18"/>
              </w:rPr>
              <w:t>不设上限</w:t>
            </w:r>
          </w:p>
        </w:tc>
        <w:tc>
          <w:tcPr>
            <w:tcW w:type="dxa" w:w="1531"/>
            <w:vAlign w:val="center"/>
          </w:tcPr>
          <w:p>
            <w:pPr>
              <w:spacing w:after="60" w:before="60" w:line="240" w:lineRule="auto"/>
            </w:pPr>
            <w:r>
              <w:rPr>
                <w:rFonts w:eastAsia="Noto Sans CJK SC"/>
                <w:b w:val="0"/>
                <w:sz w:val="18"/>
              </w:rPr>
              <w:t>6.90%</w:t>
            </w:r>
          </w:p>
        </w:tc>
        <w:tc>
          <w:tcPr>
            <w:tcW w:type="dxa" w:w="1984"/>
            <w:vAlign w:val="center"/>
          </w:tcPr>
          <w:p>
            <w:pPr>
              <w:spacing w:after="60" w:before="60" w:line="240" w:lineRule="auto"/>
            </w:pPr>
            <w:r>
              <w:rPr>
                <w:rFonts w:eastAsia="Noto Sans CJK SC"/>
                <w:b w:val="0"/>
                <w:sz w:val="18"/>
              </w:rPr>
              <w:t>6.90%</w:t>
            </w:r>
          </w:p>
        </w:tc>
        <w:tc>
          <w:tcPr>
            <w:tcW w:type="dxa" w:w="2608"/>
            <w:vAlign w:val="center"/>
          </w:tcPr>
          <w:p>
            <w:pPr>
              <w:spacing w:after="60" w:before="60" w:line="240" w:lineRule="auto"/>
            </w:pPr>
            <w:r>
              <w:rPr>
                <w:rFonts w:eastAsia="Noto Sans CJK SC"/>
                <w:b w:val="0"/>
                <w:sz w:val="18"/>
              </w:rPr>
              <w:t>0</w:t>
            </w:r>
          </w:p>
        </w:tc>
      </w:tr>
    </w:tbl>
    <w:p>
      <w:pPr>
        <w:pStyle w:val="BodyText"/>
      </w:pPr>
      <w:r>
        <w:t xml:space="preserve">紧预算排除大部分取证和分解调用；中等预算开始容纳额外动作；宽松预算最终覆盖固定动作并集。该规律解释了剩余资源为什么必须进入恢复决策。即使不限制预算，仍有 108/116 个节点无法由当前动作集合恢复，说明约束放松不能自动产生新的能力。</w:t>
      </w:r>
    </w:p>
    <w:p>
      <w:pPr>
        <w:pStyle w:val="BodyText"/>
      </w:pPr>
      <w:r>
        <w:t xml:space="preserve">离线预算可行性由已知实际开销构造，因此不能把零约束违反宣传为在线预测准确。动态真实调用的预算也由静态实际消耗设定；这两组证据都不足以验证一般部署中的严格双预算保证。</w:t>
      </w:r>
    </w:p>
    <w:p>
      <w:pPr>
        <w:pStyle w:val="BodyText"/>
      </w:pPr>
      <w:r>
        <w:t xml:space="preserve">帕累托解释同样局限于可比口径。48 任务面板中，静态消耗 1,402.2 tokens、2.95 秒，动态第二版消耗 1,400.6 tokens、3.09 秒且点估计质量稍高，存在质量、token 与服务时间的权衡；动态第一版的 1,403.8 tokens、2.89 秒又提供另一种点估计权衡。考虑采样不确定性后，不应宣称这些细小差异构成稳定排序。早期回放中</w:t>
      </w:r>
      <w:r>
        <w:t xml:space="preserve">“</w:t>
      </w:r>
      <w:r>
        <w:t xml:space="preserve">静态、反馈位于前沿</w:t>
      </w:r>
      <w:r>
        <w:t xml:space="preserve">”</w:t>
      </w:r>
      <w:r>
        <w:t xml:space="preserve">只适用于该候选集合和估算成本，不能跨实验继承为全局结论。</w:t>
      </w:r>
    </w:p>
    <w:p>
      <w:pPr>
        <w:pStyle w:val="Heading3"/>
      </w:pPr>
      <w:bookmarkStart w:id="62" w:name="消融与机制汇总"/>
      <w:r>
        <w:t xml:space="preserve">5.10 消融与机制汇总</w:t>
      </w:r>
      <w:bookmarkEnd w:id="62"/>
    </w:p>
    <w:p>
      <w:pPr>
        <w:pStyle w:val="FirstParagraph"/>
      </w:pPr>
      <w:r>
        <w:t xml:space="preserve">本节整合各比较，回答收益来自何处，以及哪些新增执行没有扩大覆盖。[E02、E07、E13、E18—E19]</w:t>
      </w:r>
    </w:p>
    <w:p>
      <w:pPr>
        <w:pStyle w:val="BodyText"/>
        <w:keepNext/>
        <w:spacing w:before="160"/>
      </w:pPr>
      <w:r>
        <w:t xml:space="preserve">表 5-17 消融与机制结果汇总</w:t>
      </w:r>
    </w:p>
    <w:tbl>
      <w:tblPr>
        <w:tblStyle w:val="TableGrid"/>
        <w:tblW w:type="dxa" w:w="9524"/>
        <w:tblLayout w:type="fixed"/>
        <w:tblLook w:firstColumn="1" w:firstRow="1" w:lastColumn="0" w:lastRow="0" w:noHBand="0" w:noVBand="1" w:val="04A0"/>
      </w:tblPr>
      <w:tblGrid>
        <w:gridCol w:w="2381"/>
        <w:gridCol w:w="2835"/>
        <w:gridCol w:w="4309"/>
      </w:tblGrid>
      <w:tr>
        <w:trPr>
          <w:cantSplit/>
          <w:tblHeader/>
        </w:trPr>
        <w:tc>
          <w:tcPr>
            <w:tcW w:type="dxa" w:w="2381"/>
            <w:vAlign w:val="center"/>
            <w:shd w:fill="E8EDF2"/>
          </w:tcPr>
          <w:p>
            <w:pPr>
              <w:spacing w:after="60" w:before="60" w:line="240" w:lineRule="auto"/>
            </w:pPr>
            <w:r>
              <w:rPr>
                <w:rFonts w:eastAsia="Noto Sans CJK SC"/>
                <w:b/>
                <w:sz w:val="18"/>
              </w:rPr>
              <w:t>机制比较</w:t>
            </w:r>
          </w:p>
        </w:tc>
        <w:tc>
          <w:tcPr>
            <w:tcW w:type="dxa" w:w="2835"/>
            <w:vAlign w:val="center"/>
            <w:shd w:fill="E8EDF2"/>
          </w:tcPr>
          <w:p>
            <w:pPr>
              <w:spacing w:after="60" w:before="60" w:line="240" w:lineRule="auto"/>
            </w:pPr>
            <w:r>
              <w:rPr>
                <w:rFonts w:eastAsia="Noto Sans CJK SC"/>
                <w:b/>
                <w:sz w:val="18"/>
              </w:rPr>
              <w:t>主要观察</w:t>
            </w:r>
          </w:p>
        </w:tc>
        <w:tc>
          <w:tcPr>
            <w:tcW w:type="dxa" w:w="4309"/>
            <w:vAlign w:val="center"/>
            <w:shd w:fill="E8EDF2"/>
          </w:tcPr>
          <w:p>
            <w:pPr>
              <w:spacing w:after="60" w:before="60" w:line="240" w:lineRule="auto"/>
            </w:pPr>
            <w:r>
              <w:rPr>
                <w:rFonts w:eastAsia="Noto Sans CJK SC"/>
                <w:b/>
                <w:sz w:val="18"/>
              </w:rPr>
              <w:t>可支持的结论</w:t>
            </w:r>
          </w:p>
        </w:tc>
      </w:tr>
      <w:tr>
        <w:trPr>
          <w:cantSplit/>
        </w:trPr>
        <w:tc>
          <w:tcPr>
            <w:tcW w:type="dxa" w:w="2381"/>
            <w:vAlign w:val="center"/>
          </w:tcPr>
          <w:p>
            <w:pPr>
              <w:spacing w:after="60" w:before="60" w:line="240" w:lineRule="auto"/>
            </w:pPr>
            <w:r>
              <w:rPr>
                <w:rFonts w:eastAsia="Noto Sans CJK SC"/>
                <w:b w:val="0"/>
                <w:sz w:val="18"/>
              </w:rPr>
              <w:t>查询路由→类型先验</w:t>
            </w:r>
          </w:p>
        </w:tc>
        <w:tc>
          <w:tcPr>
            <w:tcW w:type="dxa" w:w="2835"/>
            <w:vAlign w:val="center"/>
          </w:tcPr>
          <w:p>
            <w:pPr>
              <w:spacing w:after="60" w:before="60" w:line="240" w:lineRule="auto"/>
            </w:pPr>
            <w:r>
              <w:rPr>
                <w:rFonts w:eastAsia="Noto Sans CJK SC"/>
                <w:b w:val="0"/>
                <w:sz w:val="18"/>
              </w:rPr>
              <w:t>新版确认 +6.90 个百分点</w:t>
            </w:r>
          </w:p>
        </w:tc>
        <w:tc>
          <w:tcPr>
            <w:tcW w:type="dxa" w:w="4309"/>
            <w:vAlign w:val="center"/>
          </w:tcPr>
          <w:p>
            <w:pPr>
              <w:spacing w:after="60" w:before="60" w:line="240" w:lineRule="auto"/>
            </w:pPr>
            <w:r>
              <w:rPr>
                <w:rFonts w:eastAsia="Noto Sans CJK SC"/>
                <w:b w:val="0"/>
                <w:sz w:val="18"/>
              </w:rPr>
              <w:t>类型粒度提供主要路由收益</w:t>
            </w:r>
          </w:p>
        </w:tc>
      </w:tr>
      <w:tr>
        <w:trPr>
          <w:cantSplit/>
        </w:trPr>
        <w:tc>
          <w:tcPr>
            <w:tcW w:type="dxa" w:w="2381"/>
            <w:vAlign w:val="center"/>
          </w:tcPr>
          <w:p>
            <w:pPr>
              <w:spacing w:after="60" w:before="60" w:line="240" w:lineRule="auto"/>
            </w:pPr>
            <w:r>
              <w:rPr>
                <w:rFonts w:eastAsia="Noto Sans CJK SC"/>
                <w:b w:val="0"/>
                <w:sz w:val="18"/>
              </w:rPr>
              <w:t>类型先验→学习式节点路由</w:t>
            </w:r>
          </w:p>
        </w:tc>
        <w:tc>
          <w:tcPr>
            <w:tcW w:type="dxa" w:w="2835"/>
            <w:vAlign w:val="center"/>
          </w:tcPr>
          <w:p>
            <w:pPr>
              <w:spacing w:after="60" w:before="60" w:line="240" w:lineRule="auto"/>
            </w:pPr>
            <w:r>
              <w:rPr>
                <w:rFonts w:eastAsia="Noto Sans CJK SC"/>
                <w:b w:val="0"/>
                <w:sz w:val="18"/>
              </w:rPr>
              <w:t>新版确认差异为零</w:t>
            </w:r>
          </w:p>
        </w:tc>
        <w:tc>
          <w:tcPr>
            <w:tcW w:type="dxa" w:w="4309"/>
            <w:vAlign w:val="center"/>
          </w:tcPr>
          <w:p>
            <w:pPr>
              <w:spacing w:after="60" w:before="60" w:line="240" w:lineRule="auto"/>
            </w:pPr>
            <w:r>
              <w:rPr>
                <w:rFonts w:eastAsia="Noto Sans CJK SC"/>
                <w:b w:val="0"/>
                <w:sz w:val="18"/>
              </w:rPr>
              <w:t>未证实表示学习的额外泛化收益</w:t>
            </w:r>
          </w:p>
        </w:tc>
      </w:tr>
      <w:tr>
        <w:trPr>
          <w:cantSplit/>
        </w:trPr>
        <w:tc>
          <w:tcPr>
            <w:tcW w:type="dxa" w:w="2381"/>
            <w:vAlign w:val="center"/>
          </w:tcPr>
          <w:p>
            <w:pPr>
              <w:spacing w:after="60" w:before="60" w:line="240" w:lineRule="auto"/>
            </w:pPr>
            <w:r>
              <w:rPr>
                <w:rFonts w:eastAsia="Noto Sans CJK SC"/>
                <w:b w:val="0"/>
                <w:sz w:val="18"/>
              </w:rPr>
              <w:t>初始反馈→状态感知反馈</w:t>
            </w:r>
          </w:p>
        </w:tc>
        <w:tc>
          <w:tcPr>
            <w:tcW w:type="dxa" w:w="2835"/>
            <w:vAlign w:val="center"/>
          </w:tcPr>
          <w:p>
            <w:pPr>
              <w:spacing w:after="60" w:before="60" w:line="240" w:lineRule="auto"/>
            </w:pPr>
            <w:r>
              <w:rPr>
                <w:rFonts w:eastAsia="Noto Sans CJK SC"/>
                <w:b w:val="0"/>
                <w:sz w:val="18"/>
              </w:rPr>
              <w:t>条件化质量 0.5355→0.5822</w:t>
            </w:r>
          </w:p>
        </w:tc>
        <w:tc>
          <w:tcPr>
            <w:tcW w:type="dxa" w:w="4309"/>
            <w:vAlign w:val="center"/>
          </w:tcPr>
          <w:p>
            <w:pPr>
              <w:spacing w:after="60" w:before="60" w:line="240" w:lineRule="auto"/>
            </w:pPr>
            <w:r>
              <w:rPr>
                <w:rFonts w:eastAsia="Noto Sans CJK SC"/>
                <w:b w:val="0"/>
                <w:sz w:val="18"/>
              </w:rPr>
              <w:t>反馈与额外恢复组合具有回放潜力</w:t>
            </w:r>
          </w:p>
        </w:tc>
      </w:tr>
      <w:tr>
        <w:trPr>
          <w:cantSplit/>
        </w:trPr>
        <w:tc>
          <w:tcPr>
            <w:tcW w:type="dxa" w:w="2381"/>
            <w:vAlign w:val="center"/>
          </w:tcPr>
          <w:p>
            <w:pPr>
              <w:spacing w:after="60" w:before="60" w:line="240" w:lineRule="auto"/>
            </w:pPr>
            <w:r>
              <w:rPr>
                <w:rFonts w:eastAsia="Noto Sans CJK SC"/>
                <w:b w:val="0"/>
                <w:sz w:val="18"/>
              </w:rPr>
              <w:t>动态第一版→第二版</w:t>
            </w:r>
          </w:p>
        </w:tc>
        <w:tc>
          <w:tcPr>
            <w:tcW w:type="dxa" w:w="2835"/>
            <w:vAlign w:val="center"/>
          </w:tcPr>
          <w:p>
            <w:pPr>
              <w:spacing w:after="60" w:before="60" w:line="240" w:lineRule="auto"/>
            </w:pPr>
            <w:r>
              <w:rPr>
                <w:rFonts w:eastAsia="Noto Sans CJK SC"/>
                <w:b w:val="0"/>
                <w:sz w:val="18"/>
              </w:rPr>
              <w:t>正确数均 26；Help/Harm 由 2/1→1/0</w:t>
            </w:r>
          </w:p>
        </w:tc>
        <w:tc>
          <w:tcPr>
            <w:tcW w:type="dxa" w:w="4309"/>
            <w:vAlign w:val="center"/>
          </w:tcPr>
          <w:p>
            <w:pPr>
              <w:spacing w:after="60" w:before="60" w:line="240" w:lineRule="auto"/>
            </w:pPr>
            <w:r>
              <w:rPr>
                <w:rFonts w:eastAsia="Noto Sans CJK SC"/>
                <w:b w:val="0"/>
                <w:sz w:val="18"/>
              </w:rPr>
              <w:t>观察到较少破坏，无总体质量增长</w:t>
            </w:r>
          </w:p>
        </w:tc>
      </w:tr>
      <w:tr>
        <w:trPr>
          <w:cantSplit/>
        </w:trPr>
        <w:tc>
          <w:tcPr>
            <w:tcW w:type="dxa" w:w="2381"/>
            <w:vAlign w:val="center"/>
          </w:tcPr>
          <w:p>
            <w:pPr>
              <w:spacing w:after="60" w:before="60" w:line="240" w:lineRule="auto"/>
            </w:pPr>
            <w:r>
              <w:rPr>
                <w:rFonts w:eastAsia="Noto Sans CJK SC"/>
                <w:b w:val="0"/>
                <w:sz w:val="18"/>
              </w:rPr>
              <w:t>全局验证门控→类型门控</w:t>
            </w:r>
          </w:p>
        </w:tc>
        <w:tc>
          <w:tcPr>
            <w:tcW w:type="dxa" w:w="2835"/>
            <w:vAlign w:val="center"/>
          </w:tcPr>
          <w:p>
            <w:pPr>
              <w:spacing w:after="60" w:before="60" w:line="240" w:lineRule="auto"/>
            </w:pPr>
            <w:r>
              <w:rPr>
                <w:rFonts w:eastAsia="Noto Sans CJK SC"/>
                <w:b w:val="0"/>
                <w:sz w:val="18"/>
              </w:rPr>
              <w:t>新版质量 0.5355→0.5477</w:t>
            </w:r>
          </w:p>
        </w:tc>
        <w:tc>
          <w:tcPr>
            <w:tcW w:type="dxa" w:w="4309"/>
            <w:vAlign w:val="center"/>
          </w:tcPr>
          <w:p>
            <w:pPr>
              <w:spacing w:after="60" w:before="60" w:line="240" w:lineRule="auto"/>
            </w:pPr>
            <w:r>
              <w:rPr>
                <w:rFonts w:eastAsia="Noto Sans CJK SC"/>
                <w:b w:val="0"/>
                <w:sz w:val="18"/>
              </w:rPr>
              <w:t>门控范围在模拟条件下影响代价与误触发</w:t>
            </w:r>
          </w:p>
        </w:tc>
      </w:tr>
      <w:tr>
        <w:trPr>
          <w:cantSplit/>
        </w:trPr>
        <w:tc>
          <w:tcPr>
            <w:tcW w:type="dxa" w:w="2381"/>
            <w:vAlign w:val="center"/>
          </w:tcPr>
          <w:p>
            <w:pPr>
              <w:spacing w:after="60" w:before="60" w:line="240" w:lineRule="auto"/>
            </w:pPr>
            <w:r>
              <w:rPr>
                <w:rFonts w:eastAsia="Noto Sans CJK SC"/>
                <w:b w:val="0"/>
                <w:sz w:val="18"/>
              </w:rPr>
              <w:t>四动作→增加局部重规划</w:t>
            </w:r>
          </w:p>
        </w:tc>
        <w:tc>
          <w:tcPr>
            <w:tcW w:type="dxa" w:w="2835"/>
            <w:vAlign w:val="center"/>
          </w:tcPr>
          <w:p>
            <w:pPr>
              <w:spacing w:after="60" w:before="60" w:line="240" w:lineRule="auto"/>
            </w:pPr>
            <w:r>
              <w:rPr>
                <w:rFonts w:eastAsia="Noto Sans CJK SC"/>
                <w:b w:val="0"/>
                <w:sz w:val="18"/>
              </w:rPr>
              <w:t>开发 40 节点覆盖均 4/40</w:t>
            </w:r>
          </w:p>
        </w:tc>
        <w:tc>
          <w:tcPr>
            <w:tcW w:type="dxa" w:w="4309"/>
            <w:vAlign w:val="center"/>
          </w:tcPr>
          <w:p>
            <w:pPr>
              <w:spacing w:after="60" w:before="60" w:line="240" w:lineRule="auto"/>
            </w:pPr>
            <w:r>
              <w:rPr>
                <w:rFonts w:eastAsia="Noto Sans CJK SC"/>
                <w:b w:val="0"/>
                <w:sz w:val="18"/>
              </w:rPr>
              <w:t>没有新增可恢复节点，按预设规则不继续</w:t>
            </w:r>
          </w:p>
        </w:tc>
      </w:tr>
    </w:tbl>
    <w:p>
      <w:pPr>
        <w:pStyle w:val="BodyText"/>
      </w:pPr>
      <w:r>
        <w:t xml:space="preserve">类型门控消融使用测得验证器混淆信息进行零新增生成回放，不是对每个当前输出新执行独立验证。其恢复计数不直接等于质量净增量，不能使用旧版不一致 Oracle 字段解释新质量。</w:t>
      </w:r>
    </w:p>
    <w:p>
      <w:pPr>
        <w:pStyle w:val="BodyText"/>
      </w:pPr>
      <w:r>
        <w:t xml:space="preserve">局部子图重规划在 40 个开发节点上仅成功 1 个，与现有动作重叠；加入前后并集均为 10%。平均约 5,930.6 tokens、5.505 秒，高于局部分解的约 2,668.4 tokens、3.737 秒，未达到预设新增覆盖要求。[E19] 这一负结果支持将动态执行定义为反馈条件化调度，而非强制拓扑改写，但不证明所有拓扑调整均无效。</w:t>
      </w:r>
    </w:p>
    <w:p>
      <w:pPr>
        <w:pStyle w:val="BodyText"/>
      </w:pPr>
      <w:r>
        <w:t xml:space="preserve">历史正式回放中的 22%/27%/56% 与 50 任务旧综合调用中的 24%/28%/34% 属于不同协议，不能串联成动态第二版的改进轨迹。前者依赖回放与理想检测，后者存在标准事实回退等历史限制；后续失败重审计并不会自动消除其全部信息边界。本稿保留这些记录在证据映射中，不再将其作为最新主表。[E20]</w:t>
      </w:r>
    </w:p>
    <w:p>
      <w:pPr>
        <w:pStyle w:val="BodyText"/>
      </w:pPr>
      <w:r>
        <w:rPr>
          <w:b/>
        </w:rPr>
        <w:t xml:space="preserve">待我确认项：</w:t>
      </w:r>
      <w:r>
        <w:t xml:space="preserve"> </w:t>
      </w:r>
      <w:r>
        <w:t xml:space="preserve">受控故障的原恢复率统计有实现错误，本稿只保留原始配对计数；复杂度表只能作探索性证据；图复用未证明答案质量；所有新版复核均未触发新模型调用。决定投稿表格范围时，建议保留这些限定。</w:t>
      </w:r>
    </w:p>
    <w:p>
      <w:pPr>
        <w:pStyle w:val="Heading2"/>
      </w:pPr>
      <w:bookmarkStart w:id="63" w:name="讨论"/>
      <w:r>
        <w:t xml:space="preserve">6 讨论</w:t>
      </w:r>
      <w:bookmarkEnd w:id="63"/>
    </w:p>
    <w:p>
      <w:pPr>
        <w:pStyle w:val="Heading3"/>
      </w:pPr>
      <w:bookmarkStart w:id="64" w:name="动态改善为何有限"/>
      <w:r>
        <w:t xml:space="preserve">6.1 动态改善为何有限</w:t>
      </w:r>
      <w:bookmarkEnd w:id="64"/>
    </w:p>
    <w:p>
      <w:pPr>
        <w:pStyle w:val="FirstParagraph"/>
      </w:pPr>
      <w:r>
        <w:t xml:space="preserve">初始节点分配和动态恢复解决不同问题。节点路由能够利用稳定的类型差异，而动态恢复发生在初始方法已经失败的困难子集上。后者不仅要求替代模型更合适，还要求输入中保留足够证据、失败被正确识别、剩余资源允许执行。任何一个条件不成立，更新计划都可能只增加开销。</w:t>
      </w:r>
    </w:p>
    <w:p>
      <w:pPr>
        <w:pStyle w:val="BodyText"/>
      </w:pPr>
      <w:r>
        <w:t xml:space="preserve">48 任务实验中第二版消除了观察到的一例损害，却没有增加总体正确数，说明抑制错误更新与扩大恢复覆盖不是同一能力。受控故障中，模型分配干预出现少量帮助，证据缺失和错误值没有净改善，与这一解释一致。但理想检测、小样本和对照分歧限制了其普遍性。</w:t>
      </w:r>
    </w:p>
    <w:p>
      <w:pPr>
        <w:pStyle w:val="Heading3"/>
      </w:pPr>
      <w:bookmarkStart w:id="65" w:name="模型互补性与候选能力边界"/>
      <w:r>
        <w:t xml:space="preserve">6.2 模型互补性与候选能力边界</w:t>
      </w:r>
      <w:bookmarkEnd w:id="65"/>
    </w:p>
    <w:p>
      <w:pPr>
        <w:pStyle w:val="FirstParagraph"/>
      </w:pPr>
      <w:r>
        <w:t xml:space="preserve">节点 Oracle 与真实失败动作 Oracle 度量不同机会。前者衡量在给定节点输入上选择哪个模型更好；后者衡量困难失败样本能否被既有恢复输出解决。节点面板的正差距不能直接转换成失败恢复潜力。</w:t>
      </w:r>
    </w:p>
    <w:p>
      <w:pPr>
        <w:pStyle w:val="BodyText"/>
      </w:pPr>
      <w:r>
        <w:t xml:space="preserve">在固定模型、提示、输入快照和动作输出集合 A 下，可恢复集合为各动作成功集合的并集。调度器可以减少选错动作或无效调用，却不能选择一个集合中不存在的正确输出。这是本文</w:t>
      </w:r>
      <w:r>
        <w:t xml:space="preserve">“</w:t>
      </w:r>
      <w:r>
        <w:t xml:space="preserve">能力覆盖上限</w:t>
      </w:r>
      <w:r>
        <w:t xml:space="preserve">”</w:t>
      </w:r>
      <w:r>
        <w:t xml:space="preserve">的严格含义。它不是关于任何未来模型池、工具或新提示的绝对上限，也不意味着所有在线探索都没有价值。</w:t>
      </w:r>
    </w:p>
    <w:p>
      <w:pPr>
        <w:pStyle w:val="Heading3"/>
      </w:pPr>
      <w:bookmarkStart w:id="66" w:name="失败判据与监督信息纯度"/>
      <w:r>
        <w:t xml:space="preserve">6.3 失败判据与监督信息纯度</w:t>
      </w:r>
      <w:bookmarkEnd w:id="66"/>
    </w:p>
    <w:p>
      <w:pPr>
        <w:pStyle w:val="FirstParagraph"/>
      </w:pPr>
      <w:r>
        <w:t xml:space="preserve">32 个原本答案正确的候选说明，按中间缺陷定义失败与按最终正确性定义失败会产生不同研究对象。如果问题是提高证据完整性，应报告证据召回变化；如果问题是恢复最终任务，应排除原本正确的任务，并同时计入新造成的损害。</w:t>
      </w:r>
    </w:p>
    <w:p>
      <w:pPr>
        <w:pStyle w:val="BodyText"/>
      </w:pPr>
      <w:r>
        <w:t xml:space="preserve">标准事实和离线答案也需要在不同位置分别审计。即使恢复提示没有答案泄漏，调度器仍可能通过标准答案触发恢复；即使实际事实正确传播，理想停止条件仍可能低估成本。可靠结论需要同时检查输入、触发、选择、停止和评分五个信息接口。本文的后期结果已改善失败集合口径，但不能据此声称所有实验均已获得完全在线信息条件。</w:t>
      </w:r>
    </w:p>
    <w:p>
      <w:pPr>
        <w:pStyle w:val="Heading3"/>
      </w:pPr>
      <w:bookmarkStart w:id="67" w:name="局限性"/>
      <w:r>
        <w:t xml:space="preserve">6.4 局限性</w:t>
      </w:r>
      <w:bookmarkEnd w:id="67"/>
    </w:p>
    <w:p>
      <w:pPr>
        <w:pStyle w:val="FirstParagraph"/>
      </w:pPr>
      <w:r>
        <w:t xml:space="preserve">研究主要覆盖财务数值问答和有限模板图，尚不能推广到开放式生成和大型分支 DAG。类型先验在独立面板上已解释主要路由增益，更丰富的问题表示没有获得稳定跨域优势。推理动作依赖固定表达式接口，接口错误与模型能力有时仍然交织。</w:t>
      </w:r>
    </w:p>
    <w:p>
      <w:pPr>
        <w:pStyle w:val="BodyText"/>
      </w:pPr>
      <w:r>
        <w:t xml:space="preserve">动态面板规模有限且被重复分析，第二版确认不是未经触碰的独立测试。部分真实调用试验使用标准答案判定失败，预算回放使用实际开销和离线停止条件，因此部署可行性证据弱于机制证据。受控故障无干预条件仍有一例分歧，进一步限制单因素解释。</w:t>
      </w:r>
    </w:p>
    <w:p>
      <w:pPr>
        <w:pStyle w:val="BodyText"/>
      </w:pPr>
      <w:r>
        <w:t xml:space="preserve">历史图实验仅有 20 个受控追问，验证器全部未接受，故资源收益不能替代质量证据。成本以 tokens 计，时延多为服务时间而非端到端时间，不同模型量化和加载方式也影响外推。不同实验的缓存、去重和条件输入口径应保留，不能通过合并平均值消除这些差异。</w:t>
      </w:r>
    </w:p>
    <w:p>
      <w:pPr>
        <w:pStyle w:val="BodyText"/>
      </w:pPr>
      <w:r>
        <w:rPr>
          <w:b/>
        </w:rPr>
        <w:t xml:space="preserve">待我确认项：</w:t>
      </w:r>
      <w:r>
        <w:t xml:space="preserve"> </w:t>
      </w:r>
      <w:r>
        <w:t xml:space="preserve">本稿将理想失败检测、已分析面板和资源代理作为核心局限，而非脚注；这些限制会影响论文可主张的实证强度，应在最终摘要与结论中继续保留。</w:t>
      </w:r>
    </w:p>
    <w:p>
      <w:pPr>
        <w:pStyle w:val="Heading2"/>
      </w:pPr>
      <w:bookmarkStart w:id="68" w:name="结论"/>
      <w:r>
        <w:t xml:space="preserve">7 结论</w:t>
      </w:r>
      <w:bookmarkEnd w:id="68"/>
    </w:p>
    <w:p>
      <w:pPr>
        <w:pStyle w:val="FirstParagraph"/>
      </w:pPr>
      <w:r>
        <w:t xml:space="preserve">本文研究复杂任务中基于能力画像的多模型协同执行，构建从任务分解和节点路由，到反馈条件化调整、预算感知恢复与历史图复用的统一框架。实验证据表明，节点类型粒度能够利用模型异质性；在冻结确认面板上，节点路由优于查询路由，但未超过类型先验。分解与恢复并非普遍有益，其收益取决于输入证据、任务结构和候选能力覆盖。</w:t>
      </w:r>
    </w:p>
    <w:p>
      <w:pPr>
        <w:pStyle w:val="BodyText"/>
      </w:pPr>
      <w:r>
        <w:t xml:space="preserve">最新动态策略在已分析真实调用面板上保持与第一版相同的成功总数，并减少观察到的负迁移；其相对静态差异不显著，且仍受理想失败检测限制。经最终答案审计后，固定恢复动作只覆盖少量真实失败，预算放宽无法突破这一已记录输出集合。历史图显示了降低重复执行的可行性，但最终质量与大规模复用仍需进一步证据。</w:t>
      </w:r>
    </w:p>
    <w:p>
      <w:pPr>
        <w:pStyle w:val="BodyText"/>
      </w:pPr>
      <w:r>
        <w:t xml:space="preserve">因此，本文支持的结论是：反馈感知调度可以在明确的信息与资源边界内利用既有模型互补机会，但不能保证创造当前候选集合之外的正确解。节点级分配、真实失败审计和受约束动态更新应共同构成复杂任务路由的评价基础。</w:t>
      </w:r>
    </w:p>
    <w:p>
      <w:pPr>
        <w:pStyle w:val="BodyText"/>
      </w:pPr>
      <w:r>
        <w:rPr>
          <w:b/>
        </w:rPr>
        <w:t xml:space="preserve">待我确认项：</w:t>
      </w:r>
      <w:r>
        <w:t xml:space="preserve"> </w:t>
      </w:r>
      <w:r>
        <w:t xml:space="preserve">结论不再保留动态显著胜出、拓扑重规划提高覆盖或图复用已达到高答案正确率等旧说法。</w:t>
      </w:r>
    </w:p>
    <w:p>
      <w:pPr>
        <w:pStyle w:val="Heading2"/>
      </w:pPr>
      <w:bookmarkStart w:id="69" w:name="参考文献"/>
      <w:r>
        <w:t xml:space="preserve">参考文献</w:t>
      </w:r>
      <w:bookmarkEnd w:id="69"/>
    </w:p>
    <w:p>
      <w:pPr>
        <w:pStyle w:val="FirstParagraph"/>
      </w:pPr>
      <w:r>
        <w:t xml:space="preserve">[1] Ong, I., et al. RouteLLM: Learning to Route LLMs with Preference Data. 2024. arXiv:2406.18665.</w:t>
      </w:r>
      <w:r>
        <w:t xml:space="preserve"> </w:t>
      </w:r>
      <w:hyperlink r:id="rId70">
        <w:r>
          <w:rPr>
            <w:rStyle w:val="Hyperlink"/>
          </w:rPr>
          <w:t xml:space="preserve">原文</w:t>
        </w:r>
      </w:hyperlink>
      <w:r>
        <w:t xml:space="preserve">.</w:t>
      </w:r>
    </w:p>
    <w:p>
      <w:pPr>
        <w:pStyle w:val="BodyText"/>
      </w:pPr>
      <w:r>
        <w:t xml:space="preserve">[2] Chen, L., Zaharia, M., and Zou, J. FrugalGPT: How to Use Large Language Models While Reducing Cost and Improving Performance. 2023. arXiv:2305.05176.</w:t>
      </w:r>
      <w:r>
        <w:t xml:space="preserve"> </w:t>
      </w:r>
      <w:hyperlink r:id="rId71">
        <w:r>
          <w:rPr>
            <w:rStyle w:val="Hyperlink"/>
          </w:rPr>
          <w:t xml:space="preserve">原文</w:t>
        </w:r>
      </w:hyperlink>
      <w:r>
        <w:t xml:space="preserve">.</w:t>
      </w:r>
    </w:p>
    <w:p>
      <w:pPr>
        <w:pStyle w:val="BodyText"/>
      </w:pPr>
      <w:r>
        <w:t xml:space="preserve">[3] Kim, S., et al. An LLM Compiler for Parallel Function Calling. 2024 年修订版，arXiv:2312.04511v3.</w:t>
      </w:r>
      <w:r>
        <w:t xml:space="preserve"> </w:t>
      </w:r>
      <w:hyperlink r:id="rId72">
        <w:r>
          <w:rPr>
            <w:rStyle w:val="Hyperlink"/>
          </w:rPr>
          <w:t xml:space="preserve">原文</w:t>
        </w:r>
      </w:hyperlink>
      <w:r>
        <w:t xml:space="preserve">.</w:t>
      </w:r>
    </w:p>
    <w:p>
      <w:pPr>
        <w:pStyle w:val="BodyText"/>
      </w:pPr>
      <w:r>
        <w:t xml:space="preserve">[4] Madaan, A., et al. Self-Refine: Iterative Refinement with Self-Feedback. 2023. arXiv:2303.17651.</w:t>
      </w:r>
      <w:r>
        <w:t xml:space="preserve"> </w:t>
      </w:r>
      <w:hyperlink r:id="rId73">
        <w:r>
          <w:rPr>
            <w:rStyle w:val="Hyperlink"/>
          </w:rPr>
          <w:t xml:space="preserve">原文</w:t>
        </w:r>
      </w:hyperlink>
      <w:r>
        <w:t xml:space="preserve">.</w:t>
      </w:r>
    </w:p>
    <w:p>
      <w:pPr>
        <w:pStyle w:val="BodyText"/>
      </w:pPr>
      <w:r>
        <w:t xml:space="preserve">[5] Wang, Z. Z., Mao, J., Fried, D., and Neubig, G. Agent Workflow Memory. 2024. arXiv:2409.07429.</w:t>
      </w:r>
      <w:r>
        <w:t xml:space="preserve"> </w:t>
      </w:r>
      <w:hyperlink r:id="rId74">
        <w:r>
          <w:rPr>
            <w:rStyle w:val="Hyperlink"/>
          </w:rPr>
          <w:t xml:space="preserve">原文</w:t>
        </w:r>
      </w:hyperlink>
      <w:r>
        <w:t xml:space="preserve">.</w:t>
      </w:r>
    </w:p>
    <w:p>
      <w:pPr>
        <w:pStyle w:val="BodyText"/>
      </w:pPr>
      <w:r>
        <w:t xml:space="preserve">[6] MultiHiertt: Numerical Reasoning over Multi Hierarchical Tabular and Textual Data. ACL 2022.</w:t>
      </w:r>
      <w:r>
        <w:t xml:space="preserve"> </w:t>
      </w:r>
      <w:hyperlink r:id="rId75">
        <w:r>
          <w:rPr>
            <w:rStyle w:val="Hyperlink"/>
          </w:rPr>
          <w:t xml:space="preserve">正式论文页面</w:t>
        </w:r>
      </w:hyperlink>
      <w:r>
        <w:t xml:space="preserve">.</w:t>
      </w:r>
    </w:p>
    <w:p>
      <w:pPr>
        <w:pStyle w:val="BodyText"/>
      </w:pPr>
      <w:r>
        <w:t xml:space="preserve">[7] TAT-QA: A Question Answering Benchmark on a Hybrid of Tabular and Textual Content in Finance. ACL-IJCNLP 2021.</w:t>
      </w:r>
      <w:r>
        <w:t xml:space="preserve"> </w:t>
      </w:r>
      <w:hyperlink r:id="rId76">
        <w:r>
          <w:rPr>
            <w:rStyle w:val="Hyperlink"/>
          </w:rPr>
          <w:t xml:space="preserve">正式论文页面</w:t>
        </w:r>
      </w:hyperlink>
      <w:r>
        <w:t xml:space="preserve">.</w:t>
      </w:r>
    </w:p>
    <w:sectPr w:rsidR="00FC693F" w:rsidRPr="0006063C" w:rsidSect="00034616">
      <w:footerReference w:type="default" r:id="rId9"/>
      <w:pgSz w:w="11906" w:h="16838"/>
      <w:pgMar w:top="1247" w:right="1191" w:bottom="1247" w:left="119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Liberation Serif" w:hAnsi="Liberation Serif"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88" w:lineRule="auto"/>
      <w:outlineLvl w:val="0"/>
    </w:pPr>
    <w:rPr>
      <w:rFonts w:asciiTheme="majorHAnsi" w:eastAsiaTheme="majorEastAsia" w:hAnsiTheme="majorHAnsi" w:cstheme="majorBidi" w:ascii="Liberation Serif" w:hAnsi="Liberation Serif" w:eastAsia="Noto Sans CJK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Liberation Serif" w:hAnsi="Liberation Serif" w:eastAsia="Noto Sans CJK SC"/>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line="288" w:lineRule="auto"/>
      <w:outlineLvl w:val="2"/>
    </w:pPr>
    <w:rPr>
      <w:rFonts w:asciiTheme="majorHAnsi" w:eastAsiaTheme="majorEastAsia" w:hAnsiTheme="majorHAnsi" w:cstheme="majorBidi" w:ascii="Liberation Serif" w:hAnsi="Liberation Serif"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20" w:line="288" w:lineRule="auto"/>
      <w:outlineLvl w:val="3"/>
    </w:pPr>
    <w:rPr>
      <w:rFonts w:asciiTheme="majorHAnsi" w:eastAsiaTheme="majorEastAsia" w:hAnsiTheme="majorHAnsi" w:cstheme="majorBidi" w:ascii="Liberation Serif" w:hAnsi="Liberation Serif" w:eastAsia="Noto Sans CJK SC"/>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88" w:lineRule="auto"/>
      <w:contextualSpacing/>
    </w:pPr>
    <w:rPr>
      <w:rFonts w:asciiTheme="majorHAnsi" w:eastAsiaTheme="majorEastAsia" w:hAnsiTheme="majorHAnsi" w:cstheme="majorBidi" w:ascii="Liberation Serif" w:hAnsi="Liberation Serif" w:eastAsia="Noto Sans CJK SC"/>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88" w:lineRule="auto"/>
    </w:pPr>
    <w:rPr>
      <w:rFonts w:ascii="Liberation Serif" w:hAnsi="Liberation Serif"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120"/>
    </w:pPr>
    <w:rPr>
      <w:rFonts w:ascii="Liberation Serif" w:hAnsi="Liberation Serif" w:eastAsia="Noto Sans CJK SC"/>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6" Type="http://schemas.openxmlformats.org/officeDocument/2006/relationships/hyperlink" Target="https://aclanthology.org/2021.acl-long.254/" TargetMode="External"/><Relationship Id="rId75" Type="http://schemas.openxmlformats.org/officeDocument/2006/relationships/hyperlink" Target="https://aclanthology.org/2022.acl-long.454/" TargetMode="External"/><Relationship Id="rId73" Type="http://schemas.openxmlformats.org/officeDocument/2006/relationships/hyperlink" Target="https://arxiv.org/abs/2303.17651" TargetMode="External"/><Relationship Id="rId71" Type="http://schemas.openxmlformats.org/officeDocument/2006/relationships/hyperlink" Target="https://arxiv.org/abs/2305.05176" TargetMode="External"/><Relationship Id="rId70" Type="http://schemas.openxmlformats.org/officeDocument/2006/relationships/hyperlink" Target="https://arxiv.org/abs/2406.18665" TargetMode="External"/><Relationship Id="rId74" Type="http://schemas.openxmlformats.org/officeDocument/2006/relationships/hyperlink" Target="https://arxiv.org/abs/2409.07429" TargetMode="External"/><Relationship Id="rId72" Type="http://schemas.openxmlformats.org/officeDocument/2006/relationships/hyperlink" Target="https://arxiv.org/html/2312.04511v3"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6" Type="http://schemas.openxmlformats.org/officeDocument/2006/relationships/hyperlink" Target="https://aclanthology.org/2021.acl-long.254/" TargetMode="External"/><Relationship Id="rId75" Type="http://schemas.openxmlformats.org/officeDocument/2006/relationships/hyperlink" Target="https://aclanthology.org/2022.acl-long.454/" TargetMode="External"/><Relationship Id="rId73" Type="http://schemas.openxmlformats.org/officeDocument/2006/relationships/hyperlink" Target="https://arxiv.org/abs/2303.17651" TargetMode="External"/><Relationship Id="rId71" Type="http://schemas.openxmlformats.org/officeDocument/2006/relationships/hyperlink" Target="https://arxiv.org/abs/2305.05176" TargetMode="External"/><Relationship Id="rId70" Type="http://schemas.openxmlformats.org/officeDocument/2006/relationships/hyperlink" Target="https://arxiv.org/abs/2406.18665" TargetMode="External"/><Relationship Id="rId74" Type="http://schemas.openxmlformats.org/officeDocument/2006/relationships/hyperlink" Target="https://arxiv.org/abs/2409.07429" TargetMode="External"/><Relationship Id="rId72" Type="http://schemas.openxmlformats.org/officeDocument/2006/relationships/hyperlink" Target="https://arxiv.org/html/2312.04511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面向复杂任务的反馈感知多模型自适应有向无环图路由</dc:title>
  <dc:creator/>
  <cp:keywords/>
  <dcterms:created xsi:type="dcterms:W3CDTF">2026-09-20T06:47:47Z</dcterms:created>
  <dcterms:modified xsi:type="dcterms:W3CDTF">2026-09-20T06:47:47Z</dcterms:modified>
  <dc:subject>2026-09-20 证据重构初稿</dc:subject>
</cp:coreProperties>
</file>

<file path=docProps/custom.xml><?xml version="1.0" encoding="utf-8"?>
<Properties xmlns="http://schemas.openxmlformats.org/officeDocument/2006/custom-properties" xmlns:vt="http://schemas.openxmlformats.org/officeDocument/2006/docPropsVTypes"/>
</file>