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个全新任务上的一次性冻结确认中该效应方向复现（44.0% 对 41.2%，+2.8pp，95% CI [−0.8,+6.4]，Help/Harm 13/6，预算违规 0），仍未达统计显著，只能作为方向一致的小幅正信号报告。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任务分解能够暴露中间接口，也增加接口错误和证据遗漏的机会。本文因此保留既有整题作答与 DAG 对照及其输入条件限制，讨论分解何时可能有益，而非预设分解必然改善推理。</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。既有整题—DAG 配对分析在 MultiHiertt 上为 +14.0 个百分点，在 TAT-QA 上为 −9.38 个百分点，且输入条件不同、部分历史采集存在标准事实回退。它们支持分解效用依赖任务与接口，不支持通用增益。跨模型矩阵更直接展示了 DAG 作为阶段分配接口的作用。</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5-5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5-6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5-7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5-8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5-9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5-10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2"/>
      </w:pPr>
      <w:bookmarkStart w:id="61" w:name="讨论"/>
      <w:r>
        <w:t xml:space="preserve">6 讨论</w:t>
      </w:r>
      <w:bookmarkEnd w:id="61"/>
    </w:p>
    <w:p>
      <w:pPr>
        <w:pStyle w:val="Heading3"/>
      </w:pPr>
      <w:bookmarkStart w:id="62" w:name="条件能力与传播能力的区别"/>
      <w:r>
        <w:t xml:space="preserve">6.1 条件能力与传播能力的区别</w:t>
      </w:r>
      <w:bookmarkEnd w:id="62"/>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3" w:name="单模型可预测性不等于最优模型可路由性"/>
      <w:r>
        <w:t xml:space="preserve">6.2 单模型可预测性不等于最优模型可路由性</w:t>
      </w:r>
      <w:bookmarkEnd w:id="63"/>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4" w:name="选择性干预的作用与边界"/>
      <w:r>
        <w:t xml:space="preserve">6.3 选择性干预的作用与边界</w:t>
      </w:r>
      <w:bookmarkEnd w:id="64"/>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动态第二版在 48 任务面板中减少了观察到的负迁移，却没有增加相对于第一版的总正确数；在 250 个全新任务的冻结一次性确认中，效应方向复现（+2.8pp，CI 覆盖零，Help/Harm 13/6，预算违规 0）。两个独立面板上方向一致、规模稳定的小幅正信号，配合持续为零的预算违规与无恶化的成本，支持将其价值表述为对后继决策范围的控制证据与 harm 控制，而不是显著质量提升或零风险保证。该实验使用理想失败检测，因此运行时是否能够获得足够可靠的反馈，仍是将机制转化为部署收益的关键条件。</w:t>
      </w:r>
    </w:p>
    <w:p>
      <w:pPr>
        <w:pStyle w:val="Heading3"/>
      </w:pPr>
      <w:bookmarkStart w:id="65" w:name="能力覆盖与动作选择的不同上限"/>
      <w:r>
        <w:t xml:space="preserve">6.4 能力覆盖与动作选择的不同上限</w:t>
      </w:r>
      <w:bookmarkEnd w:id="65"/>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6" w:name="资源约束与历史复用的作用层次"/>
      <w:r>
        <w:t xml:space="preserve">6.5 资源约束与历史复用的作用层次</w:t>
      </w:r>
      <w:bookmarkEnd w:id="66"/>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7" w:name="有效性限制"/>
      <w:r>
        <w:t xml:space="preserve">6.6 有效性限制</w:t>
      </w:r>
      <w:bookmarkEnd w:id="67"/>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2"/>
      </w:pPr>
      <w:bookmarkStart w:id="68" w:name="结论"/>
      <w:r>
        <w:t xml:space="preserve">7 结论</w:t>
      </w:r>
      <w:bookmarkEnd w:id="68"/>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第二版相对静态的正向变化在两个独立面板上方向一致（48 任务 +2.1pp；250 任务冻结一次性确认 +2.8pp，CI 均覆盖零），观察到的损害减少、预算违规为零；其有效性仍受理想失败检测条件限制，质量收益不作为已确证改进报告。</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69" w:name="参考文献"/>
      <w:r>
        <w:t xml:space="preserve">参考文献</w:t>
      </w:r>
      <w:bookmarkEnd w:id="69"/>
    </w:p>
    <w:p>
      <w:pPr>
        <w:pStyle w:val="FirstParagraph"/>
      </w:pPr>
      <w:r>
        <w:t xml:space="preserve">[1] Ong, I., et al. RouteLLM: Learning to Route LLMs with Preference Data. 2024. arXiv:2406.18665.</w:t>
      </w:r>
      <w:r>
        <w:t xml:space="preserve"> </w:t>
      </w:r>
      <w:hyperlink r:id="rId70">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1">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2">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3">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4">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5">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6">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clanthology.org/2021.acl-long.254/" TargetMode="External"/><Relationship Id="rId75" Type="http://schemas.openxmlformats.org/officeDocument/2006/relationships/hyperlink" Target="https://aclanthology.org/2022.acl-long.454/" TargetMode="External"/><Relationship Id="rId73" Type="http://schemas.openxmlformats.org/officeDocument/2006/relationships/hyperlink" Target="https://arxiv.org/abs/2303.17651" TargetMode="External"/><Relationship Id="rId71" Type="http://schemas.openxmlformats.org/officeDocument/2006/relationships/hyperlink" Target="https://arxiv.org/abs/2305.05176" TargetMode="External"/><Relationship Id="rId70" Type="http://schemas.openxmlformats.org/officeDocument/2006/relationships/hyperlink" Target="https://arxiv.org/abs/2406.18665" TargetMode="External"/><Relationship Id="rId74" Type="http://schemas.openxmlformats.org/officeDocument/2006/relationships/hyperlink" Target="https://arxiv.org/abs/2409.07429" TargetMode="External"/><Relationship Id="rId72"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2026-09-21T05:19:00Z</dcterms:created>
  <dcterms:modified xsi:type="dcterms:W3CDTF">2026-09-21T05:19:00Z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