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本章围绕三个贡献组织实验：节点级多模型协同选择（5.2–5.3）、反馈驱动执行适应（5.4）、真实失败触发的预算感知恢复与系统诊断（5.5）。5.6 与 5.7 分别给出多轮复用与部署分析两项支撑能力，5.8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Heading2"/>
      </w:pPr>
      <w:bookmarkStart w:id="21" w:name="experimental-setup"/>
      <w:r>
        <w:t xml:space="preserve">5.1 Experimental Setup</w:t>
      </w:r>
      <w:bookmarkEnd w:id="21"/>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综合评价（5.8）在 50 个确认任务上真实执行三臂策略并另采单模型基线，全部调用按缓存去重计费。配对统计以任务为聚类单位 bootstrap（10,000 次重采样，种子 20260915）。</w:t>
      </w:r>
    </w:p>
    <w:p>
      <w:pPr>
        <w:pStyle w:val="Heading2"/>
      </w:pPr>
      <w:bookmarkStart w:id="22" w:name="gap-analysis"/>
      <w:r>
        <w:t xml:space="preserve">5.2 GAP Analysis</w:t>
      </w:r>
      <w:bookmarkEnd w:id="22"/>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3" w:name="node-level-routing"/>
      <w:r>
        <w:t xml:space="preserve">5.3 Node-level Routing</w:t>
      </w:r>
      <w:bookmarkEnd w:id="23"/>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5.5.5 所述检测瓶颈约束；其二，级联按全局成本排序换模，不考虑节点类型条件，其 token 开销（2930）高于反馈（2629），且不具备结构分解维度——5.5.3 中由分解独占恢复的失败不在级联的假设空间内。级联与节点路由回答不同问题（何时升级 vs 谁来执行），二者在此作为互补基线报告。</w:t>
      </w:r>
    </w:p>
    <w:p>
      <w:pPr>
        <w:pStyle w:val="Heading2"/>
      </w:pPr>
      <w:bookmarkStart w:id="24" w:name="feedback-learning"/>
      <w:r>
        <w:t xml:space="preserve">5.4 Feedback Learning</w:t>
      </w:r>
      <w:bookmarkEnd w:id="24"/>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5.8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5" w:name="X62c43036164117a573b1dac0d0673bd14eaa852"/>
      <w:r>
        <w:t xml:space="preserve">5.5 Failure Recovery and Budget-aware Escalation（真实失败恢复与预算感知升级）</w:t>
      </w:r>
      <w:bookmarkEnd w:id="25"/>
    </w:p>
    <w:p>
      <w:pPr>
        <w:pStyle w:val="FirstParagraph"/>
      </w:pPr>
      <w:r>
        <w:t xml:space="preserve">静态分配无法处理执行失败。本节先定位失败来源（5.5.1），再给出 Static 与 Dynamic 两种执行模式的对照（5.5.2），分解各恢复组件的边际贡献（5.5.3），以理想组件替换量化系统瓶颈与潜力（5.5.4），最后给出检测门控、结构分解与预算升级的直接证据（5.5.5）。</w:t>
      </w:r>
    </w:p>
    <w:p>
      <w:pPr>
        <w:pStyle w:val="Heading3"/>
      </w:pPr>
      <w:bookmarkStart w:id="26" w:name="failure-analysis"/>
      <w:r>
        <w:t xml:space="preserve">5.5.1 Failure Analysis</w:t>
      </w:r>
      <w:bookmarkEnd w:id="26"/>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5.5.2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 TAT-QA 任务，策略冻结后真实执行，160 次调用；与回放不同，恢复后的真实输出真实传播给后继。诚实标注：该集合此前的诊断分析启发了后续 Dynamic v2 规则设计，故对 v2 而言它是 previously analyzed live confirmation set，不称 held-out）：两臂共享初始分配、prompt、模型池与逐任务预算（Static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Dynamic v2（选择性更新规则，dev 迭代 + confirmation 一次性执行）</w:t>
      </w:r>
      <w:r>
        <w:t xml:space="preserve">：针对 Live v1 的唯一 harm（失败记忆覆盖有正向证据的冻结回退），在 33 个独立 dev 任务（与全部先前集合互斥）上迭代出四条调度规则——R1 正向证据锁（冻结回退无失败记录时不被覆盖）、R2 切换边际（δ=0.1）、R3 受影响后继门控（恢复输出未实质变化则保持 Static 分配）、R4 能力画像评分（rank − γ·失败数，γ=1）。策略以单一共享函数实现（policy hash 8ee21689…），dev 与 confirmation 共同 import，9 项构造状态单元测试 + dev 记录重放逐决策一致后才执行。Confirmation 结果：Q = 54.2%（= Static +2.1pp，CI 同前、覆盖 0），</w:t>
      </w:r>
      <w:r>
        <w:rPr>
          <w:b/>
        </w:rPr>
        <w:t xml:space="preserve">harm 0（v1 为 1）</w:t>
      </w:r>
      <w:r>
        <w:t xml:space="preserve">，help 1，成本持平（−1.6 tokens），预算违规 0。v2 相对 v1 净效应 +1 任务（消除全部 harm）；其保守性（无失败证据不切换）使其在模型池互补性缺失的任务上退化为 Static——这正是</w:t>
      </w:r>
      <w:r>
        <w:t xml:space="preserve">“</w:t>
      </w:r>
      <w:r>
        <w:t xml:space="preserve">动态性的价值取决于可重路由空间</w:t>
      </w:r>
      <w:r>
        <w:t xml:space="preserve">”</w:t>
      </w:r>
      <w:r>
        <w:t xml:space="preserve">的机制性结论。</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27" w:name="component-ablation"/>
      <w:r>
        <w:t xml:space="preserve">5.5.3 Component Ablation</w:t>
      </w:r>
      <w:bookmarkEnd w:id="27"/>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5.5.5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5.5.4 的 oracle 分析与全量结论一致。在剩余预算有限时选择提前终止以避免无效开销，是当前动作集合下由数据支持的决策。</w:t>
      </w:r>
    </w:p>
    <w:p>
      <w:pPr>
        <w:pStyle w:val="Heading3"/>
      </w:pPr>
      <w:bookmarkStart w:id="28" w:name="oracle-component-analysis误差瓶颈分析"/>
      <w:r>
        <w:t xml:space="preserve">5.5.4 Oracle Component Analysis（误差瓶颈分析）</w:t>
      </w:r>
      <w:bookmarkEnd w:id="28"/>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5.5.5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9" w:name="检测门控与结构分解"/>
      <w:r>
        <w:t xml:space="preserve">5.5.5 检测门控与结构分解</w:t>
      </w:r>
      <w:bookmarkEnd w:id="29"/>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5.5.6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30" w:name="local-subgraph-replan开发-pilotno-go未来工作"/>
      <w:r>
        <w:t xml:space="preserve">5.5.7 Local Subgraph Replan（开发 pilot，NO-GO，未来工作）</w:t>
      </w:r>
      <w:bookmarkEnd w:id="30"/>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5.5.4 的 oracle 瓶颈一致：当前恢复上限由证据获取与计算能力决定，而非图的拓扑形状。</w:t>
      </w:r>
    </w:p>
    <w:p>
      <w:pPr>
        <w:pStyle w:val="Heading2"/>
      </w:pPr>
      <w:bookmarkStart w:id="31" w:name="dependency-aware-dag-reuse"/>
      <w:r>
        <w:t xml:space="preserve">5.6 Dependency-aware DAG Reuse</w:t>
      </w:r>
      <w:bookmarkEnd w:id="31"/>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2" w:name="Xb16f114428ad27dae98222b6fee545423376880"/>
      <w:r>
        <w:t xml:space="preserve">5.7 Budget-aware Multi-objective Execution Optimization</w:t>
      </w:r>
      <w:bookmarkEnd w:id="32"/>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5.5.4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3" w:name="live-end-to-end-evaluation"/>
      <w:r>
        <w:t xml:space="preserve">5.8 Live End-to-End Evaluation</w:t>
      </w:r>
      <w:bookmarkEnd w:id="33"/>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2026-09-18T11:22:57Z</dcterms:created>
  <dcterms:modified xsi:type="dcterms:W3CDTF">2026-09-18T11:22:57Z</dcterms:modified>
</cp:coreProperties>
</file>

<file path=docProps/custom.xml><?xml version="1.0" encoding="utf-8"?>
<Properties xmlns="http://schemas.openxmlformats.org/officeDocument/2006/custom-properties" xmlns:vt="http://schemas.openxmlformats.org/officeDocument/2006/docPropsVTypes"/>
</file>