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复杂任务的反馈感知多模型自适应有向无环图路由"/>
      <w:r>
        <w:t xml:space="preserve">面向复杂任务的反馈感知多模型自适应有向无环图路由</w:t>
      </w:r>
      <w:bookmarkEnd w:id="20"/>
    </w:p>
    <w:p>
      <w:pPr>
        <w:pStyle w:val="FirstParagraph"/>
      </w:pPr>
      <w:r>
        <w:t xml:space="preserve">Feedback-aware Adaptive DAG Routing for Multi-model LLM Collaboration</w:t>
      </w:r>
    </w:p>
    <w:p>
      <w:pPr>
        <w:pStyle w:val="Heading2"/>
      </w:pPr>
      <w:bookmarkStart w:id="21" w:name="摘要"/>
      <w:r>
        <w:t xml:space="preserve">摘要</w:t>
      </w:r>
      <w:bookmarkEnd w:id="21"/>
    </w:p>
    <w:p>
      <w:pPr>
        <w:pStyle w:val="FirstParagraph"/>
      </w:pPr>
      <w:r>
        <w:t xml:space="preserve">复杂任务包含信息抽取、关系推理和结果验证等不同能力需求，针对完整查询选择单一模型难以利用执行阶段间的模型互补。本文提出反馈感知的自适应有向无环图路由框架，将能力画像、节点级模型分配、静态执行与反馈条件化的后继适应相结合，并以选择性干预、预算约束和历史图复用组织多模型协同。财务复杂任务实验表明，冻结节点路由相对查询路由的条件化节点质量提高约 6.9 个百分点，主要收益来自阶段粒度；跨模型传播显示，上游输入来源能够改变下游优势，条件能力不能直接等同于传播能力。在枚举的 3×3 抽取—推理模型组合空间内，精确 Oracle 为 30.5%，最佳固定组合为 20.5%，但剩余差距未被当前选择器稳定利用。理想失败检测条件下的 48 任务真实调用比较中，动态第二版由静态的 52.1% 提高至 54.2%，差异不显著；在 250 个全新任务上的一次性冻结确认中该效应方向复现（+2.8pp，95% CI [−0.8,+6.4]），仍未达统计显著。而在含分支与汇合的四节点真实 DAG 面板上，选择性动态适应显著优于静态执行（36.7% 对 16.7%，+20.0pp，95% CI [11.7,28.3]，Help/Harm 28/4），且 933 次适配调用全部限于受影响后代闭包、分支隔离检查零违例、预算违规为零——动态 DAG 的价值在多节点结构下首次得到显著验证。对照消融显示增益主要来自失败节点升级至最强未试模型的动作（同目标静态对照 35.0%），而将失败检测全部换成部署可得信号（解析/执行与输出一致性检查，无 gold 参考）仍保留 91.7% 的增益（35.0%）——动态收益不依赖理想失败检测。确认实验与开发层风险—覆盖率分析共同提示，限制无充分依据的切换有助于控制损害，但不能保证泛化收益；困难子集上较低的动作成功并集则揭示模型与动作覆盖的重要限制。研究支持在明确输入条件、反馈边界及资源口径的前提下，进行选择性的阶段级模型协同。</w:t>
      </w:r>
    </w:p>
    <w:p>
      <w:pPr>
        <w:pStyle w:val="BodyText"/>
      </w:pPr>
      <w:r>
        <w:rPr>
          <w:b/>
        </w:rPr>
        <w:t xml:space="preserve">关键词：</w:t>
      </w:r>
      <w:r>
        <w:t xml:space="preserve"> </w:t>
      </w:r>
      <w:r>
        <w:t xml:space="preserve">大模型路由；多模型协同；任务有向无环图；反馈适应；选择性路由；预算约束</w:t>
      </w:r>
    </w:p>
    <w:p>
      <w:pPr>
        <w:pStyle w:val="Heading2"/>
      </w:pPr>
      <w:bookmarkStart w:id="22" w:name="引言"/>
      <w:r>
        <w:t xml:space="preserve">1 引言</w:t>
      </w:r>
      <w:bookmarkEnd w:id="22"/>
    </w:p>
    <w:p>
      <w:pPr>
        <w:pStyle w:val="Heading3"/>
      </w:pPr>
      <w:bookmarkStart w:id="23" w:name="背景与问题"/>
      <w:r>
        <w:t xml:space="preserve">1.1 背景与问题</w:t>
      </w:r>
      <w:bookmarkEnd w:id="23"/>
    </w:p>
    <w:p>
      <w:pPr>
        <w:pStyle w:val="FirstParagraph"/>
      </w:pPr>
      <w:r>
        <w:t xml:space="preserve">复杂任务通常需要完成信息抽取、关系推理、数值计算和结果验证。不同阶段对模型能力的要求并不相同：适合从长材料中定位事实的模型，未必最擅长根据事实形成运算关系；能够生成正确表达式的模型，也未必具有最可靠的验证能力。因此，多模型协同的目标不能仅表述为给完整问题寻找一个统一的最佳模型，还需要决定各执行阶段由谁完成，以及上游状态改变后是否应调整后续计划。</w:t>
      </w:r>
    </w:p>
    <w:p>
      <w:pPr>
        <w:pStyle w:val="BodyText"/>
      </w:pPr>
      <w:r>
        <w:t xml:space="preserve">查询级路由通过预测模型效用在质量与资源之间作出选择，已有工作展示了偏好学习和成本控制的价值[1,2]。然而，对具有依赖关系的任务，模型选择还受到输入来源的影响。一个模型在标准事实条件下的推理表现，不等于它消费实际抽取输出时的表现。同模型端到端执行将抽取与推理能力绑定，可能使上游弱项掩盖下游优势。只依据条件化节点成绩分配模型，或者只依据整条同模型链的成绩评价推理能力，都可能遗漏这一差别。</w:t>
      </w:r>
    </w:p>
    <w:p>
      <w:pPr>
        <w:pStyle w:val="BodyText"/>
      </w:pPr>
      <w:r>
        <w:t xml:space="preserve">显式有向无环图（Directed Acyclic Graph，DAG）将中间结果与依赖关系变为可调度对象，使阶段能力能够独立组合。但分解会增加接口和资源开销，模型切换也可能破坏原本正确的输出。因此，需要同时回答</w:t>
      </w:r>
      <w:r>
        <w:t xml:space="preserve">“</w:t>
      </w:r>
      <w:r>
        <w:t xml:space="preserve">是否存在互补机会</w:t>
      </w:r>
      <w:r>
        <w:t xml:space="preserve">”</w:t>
      </w:r>
      <w:r>
        <w:t xml:space="preserve">和</w:t>
      </w:r>
      <w:r>
        <w:t xml:space="preserve">“</w:t>
      </w:r>
      <w:r>
        <w:t xml:space="preserve">能否可靠选择这些机会</w:t>
      </w:r>
      <w:r>
        <w:t xml:space="preserve">”</w:t>
      </w:r>
      <w:r>
        <w:t xml:space="preserve">，并在执行反馈与剩余预算的约束下决定是否干预。</w:t>
      </w:r>
    </w:p>
    <w:p>
      <w:pPr>
        <w:pStyle w:val="Heading3"/>
      </w:pPr>
      <w:bookmarkStart w:id="24" w:name="本文思路"/>
      <w:r>
        <w:t xml:space="preserve">1.2 本文思路</w:t>
      </w:r>
      <w:bookmarkEnd w:id="24"/>
    </w:p>
    <w:p>
      <w:pPr>
        <w:pStyle w:val="FirstParagraph"/>
      </w:pPr>
      <w:r>
        <w:t xml:space="preserve">本文提出反馈感知自适应 DAG 路由框架（Feedback-aware Adaptive DAG Routing），以模型能力画像支持控制路由，将复杂任务分解为初始 DAG，提供静态与动态两种执行模式。静态模式允许预定义局部回退，但保留后继模型计划；动态模式定义为反馈条件化的后续调整（Feedback-conditioned Downstream Adaptation），依据当前执行状态更新受影响后继的模型与恢复安排，不要求修改图拓扑。</w:t>
      </w:r>
    </w:p>
    <w:p>
      <w:pPr>
        <w:pStyle w:val="BodyText"/>
      </w:pPr>
      <w:r>
        <w:t xml:space="preserve">框架采用选择性调整：保留已有强默认分配，只有在运行证据支持且资源允许时覆盖。预算控制决定恢复、升级或终止；图森林保存历史依赖与版本，在相关追问中复用仍然有效的节点。这些环节服务于共同的质量—成本—时延目标，而不是独立增加更多执行步骤。</w:t>
      </w:r>
    </w:p>
    <w:p>
      <w:pPr>
        <w:pStyle w:val="BodyText"/>
      </w:pPr>
      <w:r>
        <w:t xml:space="preserve">研究围绕一条递进的证据链展开：首先测量阶段互补；随后考察实际输入传播如何改变可用能力；再通过跨模型组合和有限空间的精确事后上界定位剩余机会；最后检验选择性路由、动态恢复和预算约束能否利用这些机会。模型成功预测具有信号，并不意味着实例级最佳模型能够稳定预测；存在正 Oracle 差距，也不意味着该差距可以由当前表示与监督充分恢复。</w:t>
      </w:r>
    </w:p>
    <w:p>
      <w:pPr>
        <w:pStyle w:val="Heading3"/>
      </w:pPr>
      <w:bookmarkStart w:id="25" w:name="贡献"/>
      <w:r>
        <w:t xml:space="preserve">1.3 贡献</w:t>
      </w:r>
      <w:bookmarkEnd w:id="25"/>
    </w:p>
    <w:p>
      <w:pPr>
        <w:pStyle w:val="FirstParagraph"/>
      </w:pPr>
      <w:r>
        <w:t xml:space="preserve">第一，建立能力画像与 DAG 节点级异构模型分配的统一接口，并区分条件能力与传播能力。在冻结节点确认面板中，节点路由相对查询路由提高约 6.9 个百分点；类型先验取得相同平均质量，表明主要增益来自路由粒度。跨模型传播实验进一步展示，将抽取者与推理者独立分配可以利用同模型链中被掩盖的阶段优势。</w:t>
      </w:r>
    </w:p>
    <w:p>
      <w:pPr>
        <w:pStyle w:val="BodyText"/>
      </w:pPr>
      <w:r>
        <w:t xml:space="preserve">第二，构建静态／动态双模式执行及选择性反馈调整。动态第二版在已分析的 48 任务真实调用面板上呈现正向但不显著的质量变化，并减少观察到的有害调整。该结果支持对反馈调度稳定性的有限判断，不构成普遍安全性保证；实验采用理想失败检测，其部署边界在方法与实验中明确披露。</w:t>
      </w:r>
    </w:p>
    <w:p>
      <w:pPr>
        <w:pStyle w:val="BodyText"/>
      </w:pPr>
      <w:r>
        <w:t xml:space="preserve">第三，通过有限 3×3 组合空间的精确 Oracle、剩余差距路由、风险—覆盖率、恢复矩阵与证据诊断，系统分析可利用机会和能力边界。较小确认集中的正向选择信号未在更大确认集复现；固定恢复集合仅覆盖少量真实失败。结果说明，进一步优化调度既需要可靠选择信号，也需要模型与动作集合中实际存在正确候选。</w:t>
      </w:r>
    </w:p>
    <w:p>
      <w:pPr>
        <w:pStyle w:val="Heading3"/>
      </w:pPr>
      <w:bookmarkStart w:id="26" w:name="论文组织"/>
      <w:r>
        <w:t xml:space="preserve">1.4 论文组织</w:t>
      </w:r>
      <w:bookmarkEnd w:id="26"/>
    </w:p>
    <w:p>
      <w:pPr>
        <w:pStyle w:val="FirstParagraph"/>
      </w:pPr>
      <w:r>
        <w:t xml:space="preserve">第 2 章比较模型路由、依赖执行、反馈与历史复用研究。第 3 章给出能力画像、节点分配、选择性动态执行与资源决策方法。第 4 章区分数据面板、信息条件和统计口径。第 5 章围绕八个研究问题组织结果，第 6 章解释条件能力、可路由性和能力覆盖之间的联系，第 7 章总结适用范围与后续方向。</w:t>
      </w:r>
    </w:p>
    <w:p>
      <w:pPr>
        <w:pStyle w:val="Heading2"/>
      </w:pPr>
      <w:bookmarkStart w:id="27" w:name="相关工作"/>
      <w:r>
        <w:t xml:space="preserve">2 相关工作</w:t>
      </w:r>
      <w:bookmarkEnd w:id="27"/>
    </w:p>
    <w:p>
      <w:pPr>
        <w:pStyle w:val="Heading3"/>
      </w:pPr>
      <w:bookmarkStart w:id="28" w:name="大模型路由与模型能力画像"/>
      <w:r>
        <w:t xml:space="preserve">2.1 大模型路由与模型能力画像</w:t>
      </w:r>
      <w:bookmarkEnd w:id="28"/>
    </w:p>
    <w:p>
      <w:pPr>
        <w:pStyle w:val="FirstParagraph"/>
      </w:pPr>
      <w:r>
        <w:t xml:space="preserve">RouteLLM 利用偏好数据学习查询到候选模型的选择，并评价质量与成本权衡。[1] 本文与其共享通过预测能力分配模型的目标，但选择对象为同一任务内部的类型化节点，且进一步研究执行后状态变化。节点基准的正差距并不意味着该差距一定可由问题编码预测，因此本文保留类型先验和事后最优选择作为不同参照。</w:t>
      </w:r>
    </w:p>
    <w:p>
      <w:pPr>
        <w:pStyle w:val="BodyText"/>
      </w:pPr>
      <w:r>
        <w:t xml:space="preserve">FrugalGPT 研究通过模型调用策略降低开销并维持质量。[2] 本文同样关注有限资源下的选择，但将资源状态放在具有依赖关系的执行链中：一个恢复动作既消耗剩余预算，也改变后继输入。该区别是研究对象的细化，不构成对既有路由方法全面失效的判断。</w:t>
      </w:r>
    </w:p>
    <w:p>
      <w:pPr>
        <w:pStyle w:val="Heading3"/>
      </w:pPr>
      <w:bookmarkStart w:id="29" w:name="任务分解与依赖图执行"/>
      <w:r>
        <w:t xml:space="preserve">2.2 任务分解与依赖图执行</w:t>
      </w:r>
      <w:bookmarkEnd w:id="29"/>
    </w:p>
    <w:p>
      <w:pPr>
        <w:pStyle w:val="FirstParagraph"/>
      </w:pPr>
      <w:r>
        <w:t xml:space="preserve">LLMCompiler 将规划、任务分发与执行分开，利用依赖结构组织函数调用，并包含动态重新规划机制。[3] 本文借鉴显式依赖使执行过程可检查的组织思想，关注不同 LLM 在节点上的分工，以及失败后是否存在值得利用的替代能力。实验使用有限财务任务模板和小型链式图，不能据此宣称通用规划能力，也不将串行服务时长解释为并行图调度加速。</w:t>
      </w:r>
    </w:p>
    <w:p>
      <w:pPr>
        <w:pStyle w:val="BodyText"/>
      </w:pPr>
      <w:r>
        <w:t xml:space="preserve">任务分解能够暴露中间接口，也增加接口错误和证据遗漏的机会。本文因此保留既有整题作答与 DAG 对照及其输入条件限制，讨论分解何时可能有益，而非预设分解必然改善推理。</w:t>
      </w:r>
    </w:p>
    <w:p>
      <w:pPr>
        <w:pStyle w:val="Heading3"/>
      </w:pPr>
      <w:bookmarkStart w:id="30" w:name="反馈驱动的自适应执行"/>
      <w:r>
        <w:t xml:space="preserve">2.3 反馈驱动的自适应执行</w:t>
      </w:r>
      <w:bookmarkEnd w:id="30"/>
    </w:p>
    <w:p>
      <w:pPr>
        <w:pStyle w:val="FirstParagraph"/>
      </w:pPr>
      <w:r>
        <w:t xml:space="preserve">Self-Refine 通过反馈与修订迭代改进生成结果。[4] 本文关注的反馈作用对象包括执行模型、局部恢复动作与后续计划，除了输出修订，还需要处理依赖失效和资源消耗。本文也将反馈信号的可靠性作为实验变量：标准答案可以支持离线判定，却不能等同于在线可得反馈。</w:t>
      </w:r>
    </w:p>
    <w:p>
      <w:pPr>
        <w:pStyle w:val="BodyText"/>
      </w:pPr>
      <w:r>
        <w:t xml:space="preserve">因此，本文对反馈驱动执行的补充主要在于明确调度和评价边界。相同提示的重试、使用新提示的再次生成，以及根据金标准筛选正确候选，是不同操作，应分别记录和解释。</w:t>
      </w:r>
    </w:p>
    <w:p>
      <w:pPr>
        <w:pStyle w:val="Heading3"/>
      </w:pPr>
      <w:bookmarkStart w:id="31" w:name="多目标执行与历史记忆"/>
      <w:r>
        <w:t xml:space="preserve">2.4 多目标执行与历史记忆</w:t>
      </w:r>
      <w:bookmarkEnd w:id="31"/>
    </w:p>
    <w:p>
      <w:pPr>
        <w:pStyle w:val="FirstParagraph"/>
      </w:pPr>
      <w:r>
        <w:t xml:space="preserve">Agent Workflow Memory 从历史经验中形成可复用工作流程，为后续任务提供执行指导。[5] 本文的图森林重点保存具体任务的输入输出、依赖和版本，通过显式修改定位需要重算的部分。当前实现并不等同于通用语义工作流检索，也没有充分验证大规模图剪枝。</w:t>
      </w:r>
    </w:p>
    <w:p>
      <w:pPr>
        <w:pStyle w:val="BodyText"/>
      </w:pPr>
      <w:r>
        <w:t xml:space="preserve">质量、调用成本与时延的权衡可通过约束优化和非支配关系表达。本文采用这些已有决策概念比较有限策略，主要考察约束如何改变恢复机会，以及复用如何减少资源需求，不将采用帕累托准则本身作为算法创新。</w:t>
      </w:r>
    </w:p>
    <w:p>
      <w:pPr>
        <w:pStyle w:val="Heading2"/>
      </w:pPr>
      <w:bookmarkStart w:id="32" w:name="方法"/>
      <w:r>
        <w:t xml:space="preserve">3 方法</w:t>
      </w:r>
      <w:bookmarkEnd w:id="32"/>
    </w:p>
    <w:p>
      <w:pPr>
        <w:pStyle w:val="Heading3"/>
      </w:pPr>
      <w:bookmarkStart w:id="33" w:name="框架概览"/>
      <w:r>
        <w:t xml:space="preserve">3.1 框架概览</w:t>
      </w:r>
      <w:bookmarkEnd w:id="33"/>
    </w:p>
    <w:p>
      <w:pPr>
        <w:pStyle w:val="FirstParagraph"/>
      </w:pPr>
      <w:r>
        <w:t xml:space="preserve">给定任务 x、材料 D 和模型池 M，控制器利用离线能力画像形成执行偏好，将任务分解为初始图 G₀=(V₀,E₀)，再为具体节点建立模型分配 π₀。执行过程中维护状态 sₜ、反馈记忆 Hₜ 与剩余预算，选择保留计划、局部恢复或更新受影响后继。历史执行图以版本化集合 Fₜ 保存，支持相关请求复用。</w:t>
      </w:r>
    </w:p>
    <w:p>
      <w:pPr>
        <w:pStyle w:val="BodyText"/>
      </w:pPr>
      <w:r>
        <w:t xml:space="preserve">整体流程为能力画像→控制路由→复杂任务分解→初始 DAG→静态／动态执行→选择性调整→预算控制→历史图复用。该顺序描述逻辑依赖：控制器在图构造前获得任务需求与资源偏好，具体节点分配在节点定义后完成，不另引入未实现的路由网络。</w:t>
      </w:r>
    </w:p>
    <w:p>
      <w:pPr>
        <w:pStyle w:val="Heading3"/>
      </w:pPr>
      <w:bookmarkStart w:id="34" w:name="模型能力画像"/>
      <w:r>
        <w:t xml:space="preserve">3.2 模型能力画像</w:t>
      </w:r>
      <w:bookmarkEnd w:id="34"/>
    </w:p>
    <w:p>
      <w:pPr>
        <w:pStyle w:val="FirstParagraph"/>
      </w:pPr>
      <w:r>
        <w:t xml:space="preserve">模型画像包含质量 Q、token 消耗 C 与服务时长 L。必须区分两种输入条件。条件能力在标准前驱输入下评价当前节点；传播能力在实际前驱输出下评价节点或整条链。对于抽取模型 e 和推理模型 r，定义</w:t>
      </w:r>
    </w:p>
    <w:p>
      <w:pPr>
        <w:pStyle w:val="BodyText"/>
      </w:pPr>
      <m:oMathPara>
        <m:oMathParaPr>
          <m:jc m:val="center"/>
        </m:oMathParaPr>
        <m:oMath>
          <m:sSub>
            <m:e>
              <m:r>
                <m:t>Q</m:t>
              </m:r>
            </m:e>
            <m:sub>
              <m:r>
                <m:t>e</m:t>
              </m:r>
              <m:r>
                <m:t>,</m:t>
              </m:r>
              <m:r>
                <m:t>r</m:t>
              </m:r>
            </m:sub>
          </m:sSub>
          <m:r>
            <m:t>(</m:t>
          </m:r>
          <m:r>
            <m:t>x</m:t>
          </m:r>
          <m:r>
            <m:t>)</m:t>
          </m:r>
          <m:r>
            <m:t>=</m:t>
          </m:r>
          <m:r>
            <m:rPr>
              <m:sty m:val="p"/>
              <m:scr m:val="double-struck"/>
            </m:rPr>
            <m:t>E</m:t>
          </m:r>
          <m:r>
            <m:t>[</m:t>
          </m:r>
          <m:r>
            <m:t>Y</m:t>
          </m:r>
          <m:r>
            <m:t>∣</m:t>
          </m:r>
          <m:r>
            <m:t>x</m:t>
          </m:r>
          <m:r>
            <m:t>,</m:t>
          </m:r>
          <m:r>
            <m:t>D</m:t>
          </m:r>
          <m:r>
            <m:t>,</m:t>
          </m:r>
          <m:sSub>
            <m:e>
              <m:r>
                <m:rPr>
                  <m:nor/>
                  <m:sty m:val="p"/>
                </m:rPr>
                <m:t>Extract</m:t>
              </m:r>
            </m:e>
            <m:sub>
              <m:r>
                <m:t>e</m:t>
              </m:r>
            </m:sub>
          </m:sSub>
          <m:r>
            <m:t>(</m:t>
          </m:r>
          <m:r>
            <m:t>D</m:t>
          </m:r>
          <m:r>
            <m:t>,</m:t>
          </m:r>
          <m:r>
            <m:t>x</m:t>
          </m:r>
          <m:r>
            <m:t>)</m:t>
          </m:r>
          <m:r>
            <m:t>,</m:t>
          </m:r>
          <m:r>
            <m:t>r</m:t>
          </m:r>
          <m:r>
            <m:t>]</m:t>
          </m:r>
          <m:r>
            <m:t>.</m:t>
          </m:r>
        </m:oMath>
      </m:oMathPara>
    </w:p>
    <w:p>
      <w:pPr>
        <w:pStyle w:val="FirstParagraph"/>
      </w:pPr>
      <w:r>
        <w:t xml:space="preserve">同模型链 Q_{m,m} 同时受抽取与推理影响，不能作为模型 m 的纯推理能力。跨模型矩阵 Q_{e,r} 将两个角色分开，为分析阶段互补提供接口。</w:t>
      </w:r>
    </w:p>
    <w:p>
      <w:pPr>
        <w:pStyle w:val="BodyText"/>
      </w:pPr>
      <w:r>
        <w:t xml:space="preserve">条件化节点路由使用冻结 GTE 问题编码、节点类型独热编码与问题长度：</w:t>
      </w:r>
    </w:p>
    <w:p>
      <w:pPr>
        <w:pStyle w:val="BodyText"/>
      </w:pPr>
      <m:oMathPara>
        <m:oMathParaPr>
          <m:jc m:val="center"/>
        </m:oMathParaPr>
        <m:oMath>
          <m:sSub>
            <m:e>
              <m:r>
                <m:t>ϕ</m:t>
              </m:r>
            </m:e>
            <m:sub>
              <m:r>
                <m:t>i</m:t>
              </m:r>
            </m:sub>
          </m:sSub>
          <m:r>
            <m:t>=</m:t>
          </m:r>
          <m:r>
            <m:t>[</m:t>
          </m:r>
          <m:r>
            <m:t>e</m:t>
          </m:r>
          <m:r>
            <m:t>(</m:t>
          </m:r>
          <m:r>
            <m:t>x</m:t>
          </m:r>
          <m:r>
            <m:t>)</m:t>
          </m:r>
          <m:r>
            <m:t>;</m:t>
          </m:r>
          <m:r>
            <m:rPr>
              <m:nor/>
              <m:sty m:val="p"/>
            </m:rPr>
            <m:t>onehot</m:t>
          </m:r>
          <m:r>
            <m:t>(</m:t>
          </m:r>
          <m:sSub>
            <m:e>
              <m:r>
                <m:t>τ</m:t>
              </m:r>
            </m:e>
            <m:sub>
              <m:r>
                <m:t>i</m:t>
              </m:r>
            </m:sub>
          </m:sSub>
          <m:r>
            <m:t>)</m:t>
          </m:r>
          <m:r>
            <m:t>;</m:t>
          </m:r>
          <m:r>
            <m:rPr>
              <m:nor/>
              <m:sty m:val="p"/>
            </m:rPr>
            <m:t>log</m:t>
          </m:r>
          <m:r>
            <m:t>(</m:t>
          </m:r>
          <m:r>
            <m:t>1</m:t>
          </m:r>
          <m:r>
            <m:t>+</m:t>
          </m:r>
          <m:r>
            <m:t>|</m:t>
          </m:r>
          <m:r>
            <m:t>x</m:t>
          </m:r>
          <m:r>
            <m:t>|</m:t>
          </m:r>
          <m:r>
            <m:t>)</m:t>
          </m:r>
          <m:r>
            <m:t>]</m:t>
          </m:r>
          <m:r>
            <m:t>,</m:t>
          </m:r>
          <m:r>
            <m:t> </m:t>
          </m:r>
          <m:acc>
            <m:accPr>
              <m:chr m:val="̂"/>
            </m:accPr>
            <m:e>
              <m:r>
                <m:t>Q</m:t>
              </m:r>
            </m:e>
          </m:acc>
          <m:r>
            <m:t>(</m:t>
          </m:r>
          <m:r>
            <m:t>i</m:t>
          </m:r>
          <m:r>
            <m:t>,</m:t>
          </m:r>
          <m:r>
            <m:t>m</m:t>
          </m:r>
          <m:r>
            <m:t>)</m:t>
          </m:r>
          <m:r>
            <m:t>=</m:t>
          </m:r>
          <m:sSubSup>
            <m:e>
              <m:r>
                <m:t>w</m:t>
              </m:r>
            </m:e>
            <m:sub>
              <m:r>
                <m:t>m</m:t>
              </m:r>
            </m:sub>
            <m:sup>
              <m:r>
                <m:t>⊤</m:t>
              </m:r>
            </m:sup>
          </m:sSubSup>
          <m:sSub>
            <m:e>
              <m:r>
                <m:t>ϕ</m:t>
              </m:r>
            </m:e>
            <m:sub>
              <m:r>
                <m:t>i</m:t>
              </m:r>
            </m:sub>
          </m:sSub>
          <m:r>
            <m:t>+</m:t>
          </m:r>
          <m:sSub>
            <m:e>
              <m:r>
                <m:t>b</m:t>
              </m:r>
            </m:e>
            <m:sub>
              <m:r>
                <m:t>m</m:t>
              </m:r>
            </m:sub>
          </m:sSub>
          <m:r>
            <m:t>.</m:t>
          </m:r>
        </m:oMath>
      </m:oMathPara>
    </w:p>
    <w:p>
      <w:pPr>
        <w:pStyle w:val="FirstParagraph"/>
      </w:pPr>
      <w:r>
        <w:t xml:space="preserve">各模型的 Ridge 质量头在开发数据拟合，正则固定为 1。资源先验使用开发均值。后期 900 任务传播画像另以既有问题表示和可见输入统计评价质量与资源预测，并报告任务分组交叉验证；它不是对早期节点确认模型的测试后重训练。类型先验按照开发类型均值选择模型，用于区分类型粒度与额外实例表示的作用。</w:t>
      </w:r>
    </w:p>
    <w:p>
      <w:pPr>
        <w:pStyle w:val="Heading3"/>
      </w:pPr>
      <w:bookmarkStart w:id="35" w:name="复杂任务分解与初始依赖图"/>
      <w:r>
        <w:t xml:space="preserve">3.3 复杂任务分解与初始依赖图</w:t>
      </w:r>
      <w:bookmarkEnd w:id="35"/>
    </w:p>
    <w:p>
      <w:pPr>
        <w:pStyle w:val="FirstParagraph"/>
      </w:pPr>
      <w:r>
        <w:t xml:space="preserve">节点 vᵢ=(τᵢ,Iᵢ,Oᵢ,Pa(i),Kᵢ) 记录类型、输入输出约定、前驱和约束。边 (vⱼ,vᵢ) 表示后者依赖前者输出。主要类型包括抽取、推理、验证和汇总，转换节点在自然存在时保留。只有有效前驱输出齐备后，节点才具备执行条件。</w:t>
      </w:r>
    </w:p>
    <w:p>
      <w:pPr>
        <w:pStyle w:val="BodyText"/>
      </w:pPr>
      <w:r>
        <w:t xml:space="preserve">现有实例使用可检查的领域模板。语义节点完成事实定位和关系选择，确定性执行器处理表达式运算。图构造不是已经训练的通用自由文本规划器。显式依赖使模型角色能够分离，也使局部接口错误可被定位，但不保证拆分优于整题生成。</w:t>
      </w:r>
    </w:p>
    <w:p>
      <w:pPr>
        <w:pStyle w:val="Heading3"/>
      </w:pPr>
      <w:bookmarkStart w:id="36" w:name="能力感知节点路由"/>
      <w:r>
        <w:t xml:space="preserve">3.4 能力感知节点路由</w:t>
      </w:r>
      <w:bookmarkEnd w:id="36"/>
    </w:p>
    <w:p>
      <w:pPr>
        <w:pStyle w:val="FirstParagraph"/>
      </w:pPr>
      <w:r>
        <w:t xml:space="preserve">查询级选择为 r_q:x→m，节点级选择为 r_n:(x,τᵢ)→mᵢ。初始效用为</w:t>
      </w:r>
    </w:p>
    <w:p>
      <w:pPr>
        <w:pStyle w:val="BodyText"/>
      </w:pPr>
      <m:oMathPara>
        <m:oMathParaPr>
          <m:jc m:val="center"/>
        </m:oMathParaPr>
        <m:oMath>
          <m:r>
            <m:t>U</m:t>
          </m:r>
          <m:r>
            <m:t>(</m:t>
          </m:r>
          <m:r>
            <m:t>i</m:t>
          </m:r>
          <m:r>
            <m:t>,</m:t>
          </m:r>
          <m:r>
            <m:t>m</m:t>
          </m:r>
          <m:r>
            <m:t>)</m:t>
          </m:r>
          <m:r>
            <m:t>=</m:t>
          </m:r>
          <m:r>
            <m:t>α</m:t>
          </m:r>
          <m:acc>
            <m:accPr>
              <m:chr m:val="̂"/>
            </m:accPr>
            <m:e>
              <m:r>
                <m:t>Q</m:t>
              </m:r>
            </m:e>
          </m:acc>
          <m:r>
            <m:t>(</m:t>
          </m:r>
          <m:r>
            <m:t>i</m:t>
          </m:r>
          <m:r>
            <m:t>,</m:t>
          </m:r>
          <m:r>
            <m:t>m</m:t>
          </m:r>
          <m:r>
            <m:t>)</m:t>
          </m:r>
          <m:r>
            <m:t>−</m:t>
          </m:r>
          <m:r>
            <m:t>β</m:t>
          </m:r>
          <m:acc>
            <m:accPr>
              <m:chr m:val="̂"/>
            </m:accPr>
            <m:e>
              <m:r>
                <m:t>C</m:t>
              </m:r>
            </m:e>
          </m:acc>
          <m:r>
            <m:t>(</m:t>
          </m:r>
          <m:r>
            <m:t>i</m:t>
          </m:r>
          <m:r>
            <m:t>,</m:t>
          </m:r>
          <m:r>
            <m:t>m</m:t>
          </m:r>
          <m:r>
            <m:t>)</m:t>
          </m:r>
          <m:r>
            <m:t>−</m:t>
          </m:r>
          <m:r>
            <m:t>γ</m:t>
          </m:r>
          <m:acc>
            <m:accPr>
              <m:chr m:val="̂"/>
            </m:accPr>
            <m:e>
              <m:r>
                <m:t>L</m:t>
              </m:r>
            </m:e>
          </m:acc>
          <m:r>
            <m:t>(</m:t>
          </m:r>
          <m:r>
            <m:t>i</m:t>
          </m:r>
          <m:r>
            <m:t>,</m:t>
          </m:r>
          <m:r>
            <m:t>m</m:t>
          </m:r>
          <m:r>
            <m:t>)</m:t>
          </m:r>
          <m:r>
            <m:t>,</m:t>
          </m:r>
          <m:r>
            <m:t>  </m:t>
          </m:r>
          <m:sSubSup>
            <m:e>
              <m:r>
                <m:t>m</m:t>
              </m:r>
            </m:e>
            <m:sub>
              <m:r>
                <m:t>i</m:t>
              </m:r>
            </m:sub>
            <m:sup>
              <m:r>
                <m:t>*</m:t>
              </m:r>
            </m:sup>
          </m:sSubSup>
          <m:r>
            <m:t>=</m:t>
          </m:r>
          <m:r>
            <m:rPr>
              <m:nor/>
              <m:sty m:val="p"/>
            </m:rPr>
            <m:t>arg</m:t>
          </m:r>
          <m:limLow>
            <m:e>
              <m:r>
                <m:rPr>
                  <m:nor/>
                  <m:sty m:val="p"/>
                </m:rPr>
                <m:t>max</m:t>
              </m:r>
            </m:e>
            <m:lim>
              <m:r>
                <m:t>m</m:t>
              </m:r>
              <m:r>
                <m:t>∈</m:t>
              </m:r>
              <m:r>
                <m:t>M</m:t>
              </m:r>
            </m:lim>
          </m:limLow>
          <m:r>
            <m:t>U</m:t>
          </m:r>
          <m:r>
            <m:t>(</m:t>
          </m:r>
          <m:r>
            <m:t>i</m:t>
          </m:r>
          <m:r>
            <m:t>,</m:t>
          </m:r>
          <m:r>
            <m:t>m</m:t>
          </m:r>
          <m:r>
            <m:t>)</m:t>
          </m:r>
          <m:r>
            <m:t>.</m:t>
          </m:r>
        </m:oMath>
      </m:oMathPara>
    </w:p>
    <w:p>
      <w:pPr>
        <w:pStyle w:val="FirstParagraph"/>
      </w:pPr>
      <w:r>
        <w:t xml:space="preserve">节点确认协议固定 U=Q̂−0.05C̄/1000−0.05L̄/10。系统保存候选预测与最终选择，不为展示多模型而强制平均分配。条件节点分数、同模型传播分数与跨模型组合分数对应不同输入条件，不互相替代。测试前封存表示、预测头和偏好；评价阶段不以标签重新调整模型分配。</w:t>
      </w:r>
    </w:p>
    <w:p>
      <w:pPr>
        <w:pStyle w:val="Heading3"/>
      </w:pPr>
      <w:bookmarkStart w:id="37" w:name="静态依赖图执行"/>
      <w:r>
        <w:t xml:space="preserve">3.5 静态依赖图执行</w:t>
      </w:r>
      <w:bookmarkEnd w:id="37"/>
    </w:p>
    <w:p>
      <w:pPr>
        <w:pStyle w:val="FirstParagraph"/>
      </w:pPr>
      <w:r>
        <w:t xml:space="preserve">静态模式按初始依赖与分配执行。节点失败时允许冻结的局部回退；其结果作为后继实际输入继续传播，但后继模型计划保持不变。因此，静态不等于没有恢复，动态比较也不能仅通过增加调用预算获得优势。</w:t>
      </w:r>
    </w:p>
    <w:p>
      <w:pPr>
        <w:pStyle w:val="BodyText"/>
      </w:pPr>
      <w:r>
        <w:t xml:space="preserve">执行记录包含请求、输出、解析状态、消耗及输入来源。缺失真实抽取输出时，不允许以标准事实隐式补齐部署快照。历史条件化实验中的标准事实仅按其原协议评价，并单独披露。中间节点存在缺陷与最终答案错误分别记录。</w:t>
      </w:r>
    </w:p>
    <w:p>
      <w:pPr>
        <w:pStyle w:val="Heading3"/>
      </w:pPr>
      <w:bookmarkStart w:id="38" w:name="动态依赖图调整"/>
      <w:r>
        <w:t xml:space="preserve">3.6 动态依赖图调整</w:t>
      </w:r>
      <w:bookmarkEnd w:id="38"/>
    </w:p>
    <w:p>
      <w:pPr>
        <w:pStyle w:val="FirstParagraph"/>
      </w:pPr>
      <w:r>
        <w:t xml:space="preserve">动态模式统一定义为反馈条件化的后续调整。状态 Hₜ 记录已执行模型、实际结果、失败经历和资源消耗；更新对象可以是后继模型分配、恢复安排、预算可行域或验证策略。即使 Eₜ 不变，πₜ 随新证据改变也构成动态执行。</w:t>
      </w:r>
    </w:p>
    <w:p>
      <w:pPr>
        <w:pStyle w:val="BodyText"/>
      </w:pPr>
      <w:r>
        <w:t xml:space="preserve">受影响节点集合为 Aₜ，其依赖范围为 Aₜ∪Desc_G(Aₜ)。未受影响且输入有效的节点保持原结果。局部分解可以改变结构，但不是动态定义的必要条件；既有局部重规划未扩大恢复覆盖，本文不将其作为成功组件。</w:t>
      </w:r>
    </w:p>
    <w:p>
      <w:pPr>
        <w:pStyle w:val="BodyText"/>
      </w:pPr>
      <w:r>
        <w:t xml:space="preserve">反馈记忆与图调整具有不同作用。前者修正能力估计，后者改变后续执行选择。既有低容量实例使用类型、长度分桶、模型及失败状态计数；当前动作只应读取已经发生的反馈，未执行候选的事后质量不能用于实际选择。</w:t>
      </w:r>
    </w:p>
    <w:p>
      <w:pPr>
        <w:pStyle w:val="BodyText"/>
      </w:pPr>
      <w:r>
        <w:t xml:space="preserve">检测信号必须区分运行异常与真实失败标签。解析错误、执行器异常及验证器拒绝是运行时可观测信号；最终答案是否正确通常只能离线判定。48 任务动态试验通过评价答案触发推理回退并更新失败计数，属于理想失败检测条件下的真实调用。本文以此评价给定可靠判定后的调度行为，不声称已完成无标准答案的在线闭环验证。</w:t>
      </w:r>
    </w:p>
    <w:p>
      <w:pPr>
        <w:pStyle w:val="Heading3"/>
      </w:pPr>
      <w:bookmarkStart w:id="39" w:name="选择性调整"/>
      <w:r>
        <w:t xml:space="preserve">3.7 选择性调整</w:t>
      </w:r>
      <w:bookmarkEnd w:id="39"/>
    </w:p>
    <w:p>
      <w:pPr>
        <w:pStyle w:val="FirstParagraph"/>
      </w:pPr>
      <w:r>
        <w:t xml:space="preserve">选择性策略优先保留强默认分配，在候选改善证据不足时不切换。动态第二版使用既有候选保护、受影响后继门控、关键节点处理、能力排序与预算可行性规则。其类型排序结合历史失败次数形成修正分数，替换须满足冻结差距条件。关键节点处理目前主要体现于两节点链的最终推理节点，不能扩展成已验证的大图关键路径算法。</w:t>
      </w:r>
    </w:p>
    <w:p>
      <w:pPr>
        <w:pStyle w:val="BodyText"/>
      </w:pPr>
      <w:r>
        <w:t xml:space="preserve">剩余差距研究采用已经实现的两阶段选择器：第一阶段评价是否覆盖默认模型 large，第二阶段选择替代模型。简记为</w:t>
      </w:r>
    </w:p>
    <w:p>
      <w:pPr>
        <w:pStyle w:val="BodyText"/>
      </w:pPr>
      <m:oMathPara>
        <m:oMathParaPr>
          <m:jc m:val="center"/>
        </m:oMathParaPr>
        <m:oMath>
          <m:r>
            <m:t>r</m:t>
          </m:r>
          <m:r>
            <m:t>(</m:t>
          </m:r>
          <m:r>
            <m:t>x</m:t>
          </m:r>
          <m:r>
            <m:t>)</m:t>
          </m:r>
          <m:r>
            <m:t>=</m:t>
          </m:r>
          <m:d>
            <m:dPr>
              <m:begChr m:val="{"/>
              <m:endChr m:val=""/>
              <m:grow/>
            </m:dPr>
            <m:e>
              <m:m>
                <m:mPr>
                  <m:baseJc m:val="center"/>
                  <m:plcHide m:val="1"/>
                  <m:mcs>
                    <m:mc>
                      <m:mcPr>
                        <m:mcJc m:val="left"/>
                        <m:count m:val="1"/>
                      </m:mcPr>
                    </m:mc>
                    <m:mc>
                      <m:mcPr>
                        <m:mcJc m:val="left"/>
                        <m:count m:val="1"/>
                      </m:mcPr>
                    </m:mc>
                  </m:mcs>
                </m:mPr>
                <m:mr>
                  <m:e>
                    <m:sSub>
                      <m:e>
                        <m:r>
                          <m:rPr>
                            <m:nor/>
                            <m:sty m:val="p"/>
                          </m:rPr>
                          <m:t>argmax</m:t>
                        </m:r>
                      </m:e>
                      <m:sub>
                        <m:r>
                          <m:t>m</m:t>
                        </m:r>
                        <m:r>
                          <m:t>≠</m:t>
                        </m:r>
                        <m:sSub>
                          <m:e>
                            <m:r>
                              <m:t>m</m:t>
                            </m:r>
                          </m:e>
                          <m:sub>
                            <m:r>
                              <m:t>0</m:t>
                            </m:r>
                          </m:sub>
                        </m:sSub>
                      </m:sub>
                    </m:sSub>
                    <m:sSub>
                      <m:e>
                        <m:r>
                          <m:t>s</m:t>
                        </m:r>
                      </m:e>
                      <m:sub>
                        <m:r>
                          <m:t>m</m:t>
                        </m:r>
                      </m:sub>
                    </m:sSub>
                    <m:r>
                      <m:t>(</m:t>
                    </m:r>
                    <m:r>
                      <m:t>x</m:t>
                    </m:r>
                    <m:r>
                      <m:t>)</m:t>
                    </m:r>
                    <m:r>
                      <m:t>,</m:t>
                    </m:r>
                  </m:e>
                  <m:e>
                    <m:sSub>
                      <m:e>
                        <m:r>
                          <m:t>s</m:t>
                        </m:r>
                      </m:e>
                      <m:sub>
                        <m:r>
                          <m:rPr>
                            <m:sty m:val="p"/>
                          </m:rPr>
                          <m:t>s</m:t>
                        </m:r>
                        <m:r>
                          <m:rPr>
                            <m:sty m:val="p"/>
                          </m:rPr>
                          <m:t>w</m:t>
                        </m:r>
                        <m:r>
                          <m:rPr>
                            <m:sty m:val="p"/>
                          </m:rPr>
                          <m:t>i</m:t>
                        </m:r>
                        <m:r>
                          <m:rPr>
                            <m:sty m:val="p"/>
                          </m:rPr>
                          <m:t>t</m:t>
                        </m:r>
                        <m:r>
                          <m:rPr>
                            <m:sty m:val="p"/>
                          </m:rPr>
                          <m:t>c</m:t>
                        </m:r>
                        <m:r>
                          <m:rPr>
                            <m:sty m:val="p"/>
                          </m:rPr>
                          <m:t>h</m:t>
                        </m:r>
                      </m:sub>
                    </m:sSub>
                    <m:r>
                      <m:t>(</m:t>
                    </m:r>
                    <m:r>
                      <m:t>x</m:t>
                    </m:r>
                    <m:r>
                      <m:t>)</m:t>
                    </m:r>
                    <m:r>
                      <m:t>&gt;</m:t>
                    </m:r>
                    <m:r>
                      <m:t>τ</m:t>
                    </m:r>
                    <m:r>
                      <m:t>,</m:t>
                    </m:r>
                  </m:e>
                </m:mr>
                <m:mr>
                  <m:e>
                    <m:sSub>
                      <m:e>
                        <m:r>
                          <m:t>m</m:t>
                        </m:r>
                      </m:e>
                      <m:sub>
                        <m:r>
                          <m:t>0</m:t>
                        </m:r>
                      </m:sub>
                    </m:sSub>
                    <m:r>
                      <m:t>,</m:t>
                    </m:r>
                  </m:e>
                  <m:e>
                    <m:r>
                      <m:rPr>
                        <m:nor/>
                        <m:sty m:val="p"/>
                      </m:rPr>
                      <m:t>otherwise</m:t>
                    </m:r>
                    <m:r>
                      <m:t>.</m:t>
                    </m:r>
                  </m:e>
                </m:mr>
              </m:m>
            </m:e>
          </m:d>
        </m:oMath>
      </m:oMathPara>
    </w:p>
    <w:p>
      <w:pPr>
        <w:pStyle w:val="FirstParagraph"/>
      </w:pPr>
      <w:r>
        <w:t xml:space="preserve">这是选择逻辑的表达，具体候选门槛保持冻结代码设置。确认实验的 τ=0.5 在开发后固定。Ridge 决策分数未经概率校准，数值可以超出 [0,1]；不将高分误称为高置信度。两阶段传播路由与动态第二版是不同实例，前者的确认集结果不用于替代后者的动态执行结果。</w:t>
      </w:r>
    </w:p>
    <w:p>
      <w:pPr>
        <w:pStyle w:val="BodyText"/>
      </w:pPr>
      <w:r>
        <w:t xml:space="preserve">风险—覆盖率分析考察覆盖默认策略的频率与 Help/Harm 的关系。其覆盖档位来自事后交叉验证分析，不转化为独立测试集上已经验证的固定安全阈值。</w:t>
      </w:r>
    </w:p>
    <w:p>
      <w:pPr>
        <w:pStyle w:val="Heading3"/>
      </w:pPr>
      <w:bookmarkStart w:id="40" w:name="预算感知恢复"/>
      <w:r>
        <w:t xml:space="preserve">3.8 预算感知恢复</w:t>
      </w:r>
      <w:bookmarkEnd w:id="40"/>
    </w:p>
    <w:p>
      <w:pPr>
        <w:pStyle w:val="FirstParagraph"/>
      </w:pPr>
      <w:r>
        <w:t xml:space="preserve">设预算为 B_C、B_L，已发生消耗分别为 cⱼ、ℓⱼ，则剩余预算为</w:t>
      </w:r>
    </w:p>
    <w:p>
      <w:pPr>
        <w:pStyle w:val="BodyText"/>
      </w:pPr>
      <m:oMathPara>
        <m:oMathParaPr>
          <m:jc m:val="center"/>
        </m:oMathParaPr>
        <m:oMath>
          <m:sSubSup>
            <m:e>
              <m:r>
                <m:t>B</m:t>
              </m:r>
            </m:e>
            <m:sub>
              <m:r>
                <m:t>C</m:t>
              </m:r>
            </m:sub>
            <m:sup>
              <m:r>
                <m:rPr>
                  <m:sty m:val="p"/>
                </m:rPr>
                <m:t>r</m:t>
              </m:r>
              <m:r>
                <m:rPr>
                  <m:sty m:val="p"/>
                </m:rPr>
                <m:t>e</m:t>
              </m:r>
              <m:r>
                <m:rPr>
                  <m:sty m:val="p"/>
                </m:rPr>
                <m:t>m</m:t>
              </m:r>
            </m:sup>
          </m:sSubSup>
          <m:r>
            <m:t>=</m:t>
          </m:r>
          <m:sSub>
            <m:e>
              <m:r>
                <m:t>B</m:t>
              </m:r>
            </m:e>
            <m:sub>
              <m:r>
                <m:t>C</m:t>
              </m:r>
            </m:sub>
          </m:sSub>
          <m:r>
            <m:t>−</m:t>
          </m:r>
          <m:nary>
            <m:naryPr>
              <m:chr m:val="∑"/>
              <m:limLoc m:val="undOvr"/>
              <m:subHide m:val="0"/>
              <m:supHide m:val="1"/>
            </m:naryPr>
            <m:sub>
              <m:r>
                <m:t>j</m:t>
              </m:r>
            </m:sub>
            <m:sup>
              <m:r>
                <m:t>​</m:t>
              </m:r>
            </m:sup>
            <m:e>
              <m:sSub>
                <m:e>
                  <m:r>
                    <m:t>c</m:t>
                  </m:r>
                </m:e>
                <m:sub>
                  <m:r>
                    <m:t>j</m:t>
                  </m:r>
                </m:sub>
              </m:sSub>
            </m:e>
          </m:nary>
          <m:r>
            <m:t>,</m:t>
          </m:r>
          <m:r>
            <m:t>  </m:t>
          </m:r>
          <m:sSubSup>
            <m:e>
              <m:r>
                <m:t>B</m:t>
              </m:r>
            </m:e>
            <m:sub>
              <m:r>
                <m:t>L</m:t>
              </m:r>
            </m:sub>
            <m:sup>
              <m:r>
                <m:rPr>
                  <m:sty m:val="p"/>
                </m:rPr>
                <m:t>r</m:t>
              </m:r>
              <m:r>
                <m:rPr>
                  <m:sty m:val="p"/>
                </m:rPr>
                <m:t>e</m:t>
              </m:r>
              <m:r>
                <m:rPr>
                  <m:sty m:val="p"/>
                </m:rPr>
                <m:t>m</m:t>
              </m:r>
            </m:sup>
          </m:sSubSup>
          <m:r>
            <m:t>=</m:t>
          </m:r>
          <m:sSub>
            <m:e>
              <m:r>
                <m:t>B</m:t>
              </m:r>
            </m:e>
            <m:sub>
              <m:r>
                <m:t>L</m:t>
              </m:r>
            </m:sub>
          </m:sSub>
          <m:r>
            <m:t>−</m:t>
          </m:r>
          <m:nary>
            <m:naryPr>
              <m:chr m:val="∑"/>
              <m:limLoc m:val="undOvr"/>
              <m:subHide m:val="0"/>
              <m:supHide m:val="1"/>
            </m:naryPr>
            <m:sub>
              <m:r>
                <m:t>j</m:t>
              </m:r>
            </m:sub>
            <m:sup>
              <m:r>
                <m:t>​</m:t>
              </m:r>
            </m:sup>
            <m:e>
              <m:sSub>
                <m:e>
                  <m:r>
                    <m:t>ℓ</m:t>
                  </m:r>
                </m:e>
                <m:sub>
                  <m:r>
                    <m:t>j</m:t>
                  </m:r>
                </m:sub>
              </m:sSub>
            </m:e>
          </m:nary>
          <m:r>
            <m:t>.</m:t>
          </m:r>
        </m:oMath>
      </m:oMathPara>
    </w:p>
    <w:p>
      <w:pPr>
        <w:pStyle w:val="FirstParagraph"/>
      </w:pPr>
      <w:r>
        <w:t xml:space="preserve">控制器在可行范围内选择恢复、升级或终止。既有动作集包括再次调用、切换模型、重新取证和局部分解。动作共享运行快照，标准答案、推导程序与 required operands 与运行输入隔离，仅供离线分类和评分。</w:t>
      </w:r>
    </w:p>
    <w:p>
      <w:pPr>
        <w:pStyle w:val="BodyText"/>
      </w:pPr>
      <w:r>
        <w:t xml:space="preserve">预算响应面使用已记录动作的实际消耗筛选可行项，并按离线成功判定停止。因此它评价的是固定动作输出集合在不同剩余资源下的可达质量，不是实时预测开销的部署保证。动态实例的最小 token 门控也不等同于精确双预算控制。昂贵恢复只有在可行且存在新增覆盖时才有价值，动作复杂度本身不构成收益证据。</w:t>
      </w:r>
    </w:p>
    <w:p>
      <w:pPr>
        <w:pStyle w:val="Heading3"/>
      </w:pPr>
      <w:bookmarkStart w:id="41" w:name="历史任务图复用"/>
      <w:r>
        <w:t xml:space="preserve">3.9 历史任务图复用</w:t>
      </w:r>
      <w:bookmarkEnd w:id="41"/>
    </w:p>
    <w:p>
      <w:pPr>
        <w:pStyle w:val="FirstParagraph"/>
      </w:pPr>
      <w:r>
        <w:t xml:space="preserve">图森林 F={G₁</w:t>
      </w:r>
      <w:r>
        <w:rPr>
          <w:vertAlign w:val="superscript"/>
        </w:rPr>
        <w:t xml:space="preserve">(ν₁),…,Gₖ</w:t>
      </w:r>
      <w:r>
        <w:t xml:space="preserve">(νₖ)} 保存历史 DAG、子图、模型分配、反馈、可用质量与资源记录及版本。相关追问按检索、复用、修改、重算处理；输入含义和约束未变的节点可以保留，直接变化节点及受影响后继重新执行。</w:t>
      </w:r>
    </w:p>
    <w:p>
      <w:pPr>
        <w:pStyle w:val="BodyText"/>
      </w:pPr>
      <w:r>
        <w:t xml:space="preserve">修改计算假设与修改源材料具有不同失效范围。前者可复用原材料抽取，后者需重做相关抽取。当前实现依赖显式任务标识和事实索引，已经验证小规模复用与版本化，未证明通用语义图检索和大规模剪枝效果。</w:t>
      </w:r>
    </w:p>
    <w:p>
      <w:pPr>
        <w:pStyle w:val="Heading3"/>
      </w:pPr>
      <w:bookmarkStart w:id="42" w:name="多目标与约束决策"/>
      <w:r>
        <w:t xml:space="preserve">3.10 多目标与约束决策</w:t>
      </w:r>
      <w:bookmarkEnd w:id="42"/>
    </w:p>
    <w:p>
      <w:pPr>
        <w:pStyle w:val="FirstParagraph"/>
      </w:pPr>
      <w:r>
        <w:t xml:space="preserve">本文以约束质量最大化为主要表达：</w:t>
      </w:r>
    </w:p>
    <w:p>
      <w:pPr>
        <w:pStyle w:val="BodyText"/>
      </w:pPr>
      <m:oMathPara>
        <m:oMathParaPr>
          <m:jc m:val="center"/>
        </m:oMathParaPr>
        <m:oMath>
          <m:limLow>
            <m:e>
              <m:r>
                <m:rPr>
                  <m:nor/>
                  <m:sty m:val="p"/>
                </m:rPr>
                <m:t>max</m:t>
              </m:r>
            </m:e>
            <m:lim>
              <m:r>
                <m:t>p</m:t>
              </m:r>
              <m:r>
                <m:t>∈</m:t>
              </m:r>
              <m:r>
                <m:rPr>
                  <m:sty m:val="p"/>
                  <m:scr m:val="script"/>
                </m:rPr>
                <m:t>P</m:t>
              </m:r>
            </m:lim>
          </m:limLow>
          <m:acc>
            <m:accPr>
              <m:chr m:val="̂"/>
            </m:accPr>
            <m:e>
              <m:r>
                <m:t>Q</m:t>
              </m:r>
            </m:e>
          </m:acc>
          <m:r>
            <m:t>(</m:t>
          </m:r>
          <m:r>
            <m:t>p</m:t>
          </m:r>
          <m:r>
            <m:t>)</m:t>
          </m:r>
          <m:r>
            <m:t> </m:t>
          </m:r>
          <m:r>
            <m:rPr>
              <m:sty m:val="p"/>
            </m:rPr>
            <m:t>s</m:t>
          </m:r>
          <m:r>
            <m:rPr>
              <m:sty m:val="p"/>
            </m:rPr>
            <m:t>.</m:t>
          </m:r>
          <m:r>
            <m:rPr>
              <m:sty m:val="p"/>
            </m:rPr>
            <m:t>t</m:t>
          </m:r>
          <m:r>
            <m:rPr>
              <m:sty m:val="p"/>
            </m:rPr>
            <m:t>.</m:t>
          </m:r>
          <m:r>
            <m:t> </m:t>
          </m:r>
          <m:acc>
            <m:accPr>
              <m:chr m:val="̂"/>
            </m:accPr>
            <m:e>
              <m:r>
                <m:t>C</m:t>
              </m:r>
            </m:e>
          </m:acc>
          <m:r>
            <m:t>(</m:t>
          </m:r>
          <m:r>
            <m:t>p</m:t>
          </m:r>
          <m:r>
            <m:t>)</m:t>
          </m:r>
          <m:r>
            <m:t>≤</m:t>
          </m:r>
          <m:sSub>
            <m:e>
              <m:r>
                <m:t>B</m:t>
              </m:r>
            </m:e>
            <m:sub>
              <m:r>
                <m:t>C</m:t>
              </m:r>
            </m:sub>
          </m:sSub>
          <m:r>
            <m:t>,</m:t>
          </m:r>
          <m:r>
            <m:t> </m:t>
          </m:r>
          <m:acc>
            <m:accPr>
              <m:chr m:val="̂"/>
            </m:accPr>
            <m:e>
              <m:r>
                <m:t>L</m:t>
              </m:r>
            </m:e>
          </m:acc>
          <m:r>
            <m:t>(</m:t>
          </m:r>
          <m:r>
            <m:t>p</m:t>
          </m:r>
          <m:r>
            <m:t>)</m:t>
          </m:r>
          <m:r>
            <m:t>≤</m:t>
          </m:r>
          <m:sSub>
            <m:e>
              <m:r>
                <m:t>B</m:t>
              </m:r>
            </m:e>
            <m:sub>
              <m:r>
                <m:t>L</m:t>
              </m:r>
            </m:sub>
          </m:sSub>
          <m:r>
            <m:t>.</m:t>
          </m:r>
        </m:oMath>
      </m:oMathPara>
    </w:p>
    <w:p>
      <w:pPr>
        <w:pStyle w:val="FirstParagraph"/>
      </w:pPr>
      <w:r>
        <w:t xml:space="preserve">其中 p 包括模型分配和已有恢复策略。Q–C、Q–L 与 Q–C–L 非支配分析用于显示不同资源偏好下的候选权衡，不引入新多目标算法。资源相近时，质量差异是主要决策依据；预算收紧时，C/L 决定某一方案是否可行。</w:t>
      </w:r>
    </w:p>
    <w:p>
      <w:pPr>
        <w:pStyle w:val="BodyText"/>
      </w:pPr>
      <w:r>
        <w:t xml:space="preserve">在两节点、三候选模型的固定组合分析中，定义 A=M_E×M_R，包含九个组合。逐任务取其记录质量最大值后平均，得到</w:t>
      </w:r>
      <w:r>
        <w:t xml:space="preserve">“</w:t>
      </w:r>
      <w:r>
        <w:t xml:space="preserve">枚举 3×3 模型组合空间内的精确 Oracle</w:t>
      </w:r>
      <w:r>
        <w:t xml:space="preserve">”</w:t>
      </w:r>
      <w:r>
        <w:t xml:space="preserve">。其最优性仅覆盖这九个既有输出；完整动态策略还包含反馈分支、恢复、停止和可能的结构变化，并未求得全局最优。预算约束 Oracle 使用实际开销，也只作为事后诊断上界。</w:t>
      </w:r>
    </w:p>
    <w:p>
      <w:pPr>
        <w:pStyle w:val="Heading2"/>
      </w:pPr>
      <w:bookmarkStart w:id="43" w:name="实验设置"/>
      <w:r>
        <w:t xml:space="preserve">4 实验设置</w:t>
      </w:r>
      <w:bookmarkEnd w:id="43"/>
    </w:p>
    <w:p>
      <w:pPr>
        <w:pStyle w:val="Heading3"/>
      </w:pPr>
      <w:bookmarkStart w:id="44" w:name="数据来源与评价面板"/>
      <w:r>
        <w:t xml:space="preserve">4.1 数据来源与评价面板</w:t>
      </w:r>
      <w:bookmarkEnd w:id="44"/>
    </w:p>
    <w:p>
      <w:pPr>
        <w:pStyle w:val="FirstParagraph"/>
      </w:pPr>
      <w:r>
        <w:t xml:space="preserve">实验以 MultiHiertt 财务表文推理任务为主，并保留 TAT-QA 的既有分解对照作为补充。[6,7] 不同阶段使用不同面板，不能以相同数据集名称推定同一任务、输入条件或评分单位。官方无标签测试题不能沿用节点评分；节点确认采用经使用记录审计的有标签保留任务。表 4-1 汇总本文主要证据层级。</w:t>
      </w:r>
    </w:p>
    <w:p>
      <w:pPr>
        <w:pStyle w:val="BodyText"/>
        <w:keepNext/>
        <w:spacing w:before="160"/>
      </w:pPr>
      <w:r>
        <w:t xml:space="preserve">表 4-1 主要评价面板及用途</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面板</w:t>
            </w:r>
          </w:p>
        </w:tc>
        <w:tc>
          <w:tcPr>
            <w:tcW w:type="dxa" w:w="1701"/>
            <w:vAlign w:val="center"/>
            <w:shd w:fill="E8EDF2"/>
          </w:tcPr>
          <w:p>
            <w:pPr>
              <w:spacing w:after="60" w:before="60" w:line="240" w:lineRule="auto"/>
            </w:pPr>
            <w:r>
              <w:rPr>
                <w:rFonts w:eastAsia="Noto Sans CJK SC"/>
                <w:b/>
                <w:sz w:val="18"/>
              </w:rPr>
              <w:t>规模</w:t>
            </w:r>
          </w:p>
        </w:tc>
        <w:tc>
          <w:tcPr>
            <w:tcW w:type="dxa" w:w="2665"/>
            <w:vAlign w:val="center"/>
            <w:shd w:fill="E8EDF2"/>
          </w:tcPr>
          <w:p>
            <w:pPr>
              <w:spacing w:after="60" w:before="60" w:line="240" w:lineRule="auto"/>
            </w:pPr>
            <w:r>
              <w:rPr>
                <w:rFonts w:eastAsia="Noto Sans CJK SC"/>
                <w:b/>
                <w:sz w:val="18"/>
              </w:rPr>
              <w:t>输入与评价单位</w:t>
            </w:r>
          </w:p>
        </w:tc>
        <w:tc>
          <w:tcPr>
            <w:tcW w:type="dxa" w:w="2891"/>
            <w:vAlign w:val="center"/>
            <w:shd w:fill="E8EDF2"/>
          </w:tcPr>
          <w:p>
            <w:pPr>
              <w:spacing w:after="60" w:before="60" w:line="240" w:lineRule="auto"/>
            </w:pPr>
            <w:r>
              <w:rPr>
                <w:rFonts w:eastAsia="Noto Sans CJK SC"/>
                <w:b/>
                <w:sz w:val="18"/>
              </w:rPr>
              <w:t>证据层级</w:t>
            </w:r>
          </w:p>
        </w:tc>
      </w:tr>
      <w:tr>
        <w:trPr>
          <w:cantSplit/>
        </w:trPr>
        <w:tc>
          <w:tcPr>
            <w:tcW w:type="dxa" w:w="2268"/>
            <w:vAlign w:val="center"/>
          </w:tcPr>
          <w:p>
            <w:pPr>
              <w:spacing w:after="60" w:before="60" w:line="240" w:lineRule="auto"/>
            </w:pPr>
            <w:r>
              <w:rPr>
                <w:rFonts w:eastAsia="Noto Sans CJK SC"/>
                <w:b w:val="0"/>
                <w:sz w:val="18"/>
              </w:rPr>
              <w:t>条件节点确认</w:t>
            </w:r>
          </w:p>
        </w:tc>
        <w:tc>
          <w:tcPr>
            <w:tcW w:type="dxa" w:w="1701"/>
            <w:vAlign w:val="center"/>
          </w:tcPr>
          <w:p>
            <w:pPr>
              <w:spacing w:after="60" w:before="60" w:line="240" w:lineRule="auto"/>
            </w:pPr>
            <w:r>
              <w:rPr>
                <w:rFonts w:eastAsia="Noto Sans CJK SC"/>
                <w:b w:val="0"/>
                <w:sz w:val="18"/>
              </w:rPr>
              <w:t>100 任务、493 个主要节点</w:t>
            </w:r>
          </w:p>
        </w:tc>
        <w:tc>
          <w:tcPr>
            <w:tcW w:type="dxa" w:w="2665"/>
            <w:vAlign w:val="center"/>
          </w:tcPr>
          <w:p>
            <w:pPr>
              <w:spacing w:after="60" w:before="60" w:line="240" w:lineRule="auto"/>
            </w:pPr>
            <w:r>
              <w:rPr>
                <w:rFonts w:eastAsia="Noto Sans CJK SC"/>
                <w:b w:val="0"/>
                <w:sz w:val="18"/>
              </w:rPr>
              <w:t>规定条件输入；节点质量</w:t>
            </w:r>
          </w:p>
        </w:tc>
        <w:tc>
          <w:tcPr>
            <w:tcW w:type="dxa" w:w="2891"/>
            <w:vAlign w:val="center"/>
          </w:tcPr>
          <w:p>
            <w:pPr>
              <w:spacing w:after="60" w:before="60" w:line="240" w:lineRule="auto"/>
            </w:pPr>
            <w:r>
              <w:rPr>
                <w:rFonts w:eastAsia="Noto Sans CJK SC"/>
                <w:b w:val="0"/>
                <w:sz w:val="18"/>
              </w:rPr>
              <w:t>冻结选择器确认，评分更新另行审计</w:t>
            </w:r>
          </w:p>
        </w:tc>
      </w:tr>
      <w:tr>
        <w:trPr>
          <w:cantSplit/>
        </w:trPr>
        <w:tc>
          <w:tcPr>
            <w:tcW w:type="dxa" w:w="2268"/>
            <w:vAlign w:val="center"/>
          </w:tcPr>
          <w:p>
            <w:pPr>
              <w:spacing w:after="60" w:before="60" w:line="240" w:lineRule="auto"/>
            </w:pPr>
            <w:r>
              <w:rPr>
                <w:rFonts w:eastAsia="Noto Sans CJK SC"/>
                <w:b w:val="0"/>
                <w:sz w:val="18"/>
              </w:rPr>
              <w:t>传播能力画像</w:t>
            </w:r>
          </w:p>
        </w:tc>
        <w:tc>
          <w:tcPr>
            <w:tcW w:type="dxa" w:w="1701"/>
            <w:vAlign w:val="center"/>
          </w:tcPr>
          <w:p>
            <w:pPr>
              <w:spacing w:after="60" w:before="60" w:line="240" w:lineRule="auto"/>
            </w:pPr>
            <w:r>
              <w:rPr>
                <w:rFonts w:eastAsia="Noto Sans CJK SC"/>
                <w:b w:val="0"/>
                <w:sz w:val="18"/>
              </w:rPr>
              <w:t>900 任务</w:t>
            </w:r>
          </w:p>
        </w:tc>
        <w:tc>
          <w:tcPr>
            <w:tcW w:type="dxa" w:w="2665"/>
            <w:vAlign w:val="center"/>
          </w:tcPr>
          <w:p>
            <w:pPr>
              <w:spacing w:after="60" w:before="60" w:line="240" w:lineRule="auto"/>
            </w:pPr>
            <w:r>
              <w:rPr>
                <w:rFonts w:eastAsia="Noto Sans CJK SC"/>
                <w:b w:val="0"/>
                <w:sz w:val="18"/>
              </w:rPr>
              <w:t>同模型实际抽取至推理；任务正确率</w:t>
            </w:r>
          </w:p>
        </w:tc>
        <w:tc>
          <w:tcPr>
            <w:tcW w:type="dxa" w:w="2891"/>
            <w:vAlign w:val="center"/>
          </w:tcPr>
          <w:p>
            <w:pPr>
              <w:spacing w:after="60" w:before="60" w:line="240" w:lineRule="auto"/>
            </w:pPr>
            <w:r>
              <w:rPr>
                <w:rFonts w:eastAsia="Noto Sans CJK SC"/>
                <w:b w:val="0"/>
                <w:sz w:val="18"/>
              </w:rPr>
              <w:t>开发数据、任务级五折交叉验证</w:t>
            </w:r>
          </w:p>
        </w:tc>
      </w:tr>
      <w:tr>
        <w:trPr>
          <w:cantSplit/>
        </w:trPr>
        <w:tc>
          <w:tcPr>
            <w:tcW w:type="dxa" w:w="2268"/>
            <w:vAlign w:val="center"/>
          </w:tcPr>
          <w:p>
            <w:pPr>
              <w:spacing w:after="60" w:before="60" w:line="240" w:lineRule="auto"/>
            </w:pPr>
            <w:r>
              <w:rPr>
                <w:rFonts w:eastAsia="Noto Sans CJK SC"/>
                <w:b w:val="0"/>
                <w:sz w:val="18"/>
              </w:rPr>
              <w:t>跨模型传播</w:t>
            </w:r>
          </w:p>
        </w:tc>
        <w:tc>
          <w:tcPr>
            <w:tcW w:type="dxa" w:w="1701"/>
            <w:vAlign w:val="center"/>
          </w:tcPr>
          <w:p>
            <w:pPr>
              <w:spacing w:after="60" w:before="60" w:line="240" w:lineRule="auto"/>
            </w:pPr>
            <w:r>
              <w:rPr>
                <w:rFonts w:eastAsia="Noto Sans CJK SC"/>
                <w:b w:val="0"/>
                <w:sz w:val="18"/>
              </w:rPr>
              <w:t>上述画像中 200 任务</w:t>
            </w:r>
          </w:p>
        </w:tc>
        <w:tc>
          <w:tcPr>
            <w:tcW w:type="dxa" w:w="2665"/>
            <w:vAlign w:val="center"/>
          </w:tcPr>
          <w:p>
            <w:pPr>
              <w:spacing w:after="60" w:before="60" w:line="240" w:lineRule="auto"/>
            </w:pPr>
            <w:r>
              <w:rPr>
                <w:rFonts w:eastAsia="Noto Sans CJK SC"/>
                <w:b w:val="0"/>
                <w:sz w:val="18"/>
              </w:rPr>
              <w:t>实际抽取输出；九种组合</w:t>
            </w:r>
          </w:p>
        </w:tc>
        <w:tc>
          <w:tcPr>
            <w:tcW w:type="dxa" w:w="2891"/>
            <w:vAlign w:val="center"/>
          </w:tcPr>
          <w:p>
            <w:pPr>
              <w:spacing w:after="60" w:before="60" w:line="240" w:lineRule="auto"/>
            </w:pPr>
            <w:r>
              <w:rPr>
                <w:rFonts w:eastAsia="Noto Sans CJK SC"/>
                <w:b w:val="0"/>
                <w:sz w:val="18"/>
              </w:rPr>
              <w:t>开发机制分析、有限组合 Oracle</w:t>
            </w:r>
          </w:p>
        </w:tc>
      </w:tr>
      <w:tr>
        <w:trPr>
          <w:cantSplit/>
        </w:trPr>
        <w:tc>
          <w:tcPr>
            <w:tcW w:type="dxa" w:w="2268"/>
            <w:vAlign w:val="center"/>
          </w:tcPr>
          <w:p>
            <w:pPr>
              <w:spacing w:after="60" w:before="60" w:line="240" w:lineRule="auto"/>
            </w:pPr>
            <w:r>
              <w:rPr>
                <w:rFonts w:eastAsia="Noto Sans CJK SC"/>
                <w:b w:val="0"/>
                <w:sz w:val="18"/>
              </w:rPr>
              <w:t>Conf-200</w:t>
            </w:r>
          </w:p>
        </w:tc>
        <w:tc>
          <w:tcPr>
            <w:tcW w:type="dxa" w:w="1701"/>
            <w:vAlign w:val="center"/>
          </w:tcPr>
          <w:p>
            <w:pPr>
              <w:spacing w:after="60" w:before="60" w:line="240" w:lineRule="auto"/>
            </w:pPr>
            <w:r>
              <w:rPr>
                <w:rFonts w:eastAsia="Noto Sans CJK SC"/>
                <w:b w:val="0"/>
                <w:sz w:val="18"/>
              </w:rPr>
              <w:t>200 任务</w:t>
            </w:r>
          </w:p>
        </w:tc>
        <w:tc>
          <w:tcPr>
            <w:tcW w:type="dxa" w:w="2665"/>
            <w:vAlign w:val="center"/>
          </w:tcPr>
          <w:p>
            <w:pPr>
              <w:spacing w:after="60" w:before="60" w:line="240" w:lineRule="auto"/>
            </w:pPr>
            <w:r>
              <w:rPr>
                <w:rFonts w:eastAsia="Noto Sans CJK SC"/>
                <w:b w:val="0"/>
                <w:sz w:val="18"/>
              </w:rPr>
              <w:t>同模型传播链</w:t>
            </w:r>
          </w:p>
        </w:tc>
        <w:tc>
          <w:tcPr>
            <w:tcW w:type="dxa" w:w="2891"/>
            <w:vAlign w:val="center"/>
          </w:tcPr>
          <w:p>
            <w:pPr>
              <w:spacing w:after="60" w:before="60" w:line="240" w:lineRule="auto"/>
            </w:pPr>
            <w:r>
              <w:rPr>
                <w:rFonts w:eastAsia="Noto Sans CJK SC"/>
                <w:b w:val="0"/>
                <w:sz w:val="18"/>
              </w:rPr>
              <w:t>900 题训练后冻结确认</w:t>
            </w:r>
          </w:p>
        </w:tc>
      </w:tr>
      <w:tr>
        <w:trPr>
          <w:cantSplit/>
        </w:trPr>
        <w:tc>
          <w:tcPr>
            <w:tcW w:type="dxa" w:w="2268"/>
            <w:vAlign w:val="center"/>
          </w:tcPr>
          <w:p>
            <w:pPr>
              <w:spacing w:after="60" w:before="60" w:line="240" w:lineRule="auto"/>
            </w:pPr>
            <w:r>
              <w:rPr>
                <w:rFonts w:eastAsia="Noto Sans CJK SC"/>
                <w:b w:val="0"/>
                <w:sz w:val="18"/>
              </w:rPr>
              <w:t>Conf-500</w:t>
            </w:r>
          </w:p>
        </w:tc>
        <w:tc>
          <w:tcPr>
            <w:tcW w:type="dxa" w:w="1701"/>
            <w:vAlign w:val="center"/>
          </w:tcPr>
          <w:p>
            <w:pPr>
              <w:spacing w:after="60" w:before="60" w:line="240" w:lineRule="auto"/>
            </w:pPr>
            <w:r>
              <w:rPr>
                <w:rFonts w:eastAsia="Noto Sans CJK SC"/>
                <w:b w:val="0"/>
                <w:sz w:val="18"/>
              </w:rPr>
              <w:t>500 任务</w:t>
            </w:r>
          </w:p>
        </w:tc>
        <w:tc>
          <w:tcPr>
            <w:tcW w:type="dxa" w:w="2665"/>
            <w:vAlign w:val="center"/>
          </w:tcPr>
          <w:p>
            <w:pPr>
              <w:spacing w:after="60" w:before="60" w:line="240" w:lineRule="auto"/>
            </w:pPr>
            <w:r>
              <w:rPr>
                <w:rFonts w:eastAsia="Noto Sans CJK SC"/>
                <w:b w:val="0"/>
                <w:sz w:val="18"/>
              </w:rPr>
              <w:t>同模型传播链</w:t>
            </w:r>
          </w:p>
        </w:tc>
        <w:tc>
          <w:tcPr>
            <w:tcW w:type="dxa" w:w="2891"/>
            <w:vAlign w:val="center"/>
          </w:tcPr>
          <w:p>
            <w:pPr>
              <w:spacing w:after="60" w:before="60" w:line="240" w:lineRule="auto"/>
            </w:pPr>
            <w:r>
              <w:rPr>
                <w:rFonts w:eastAsia="Noto Sans CJK SC"/>
                <w:b w:val="0"/>
                <w:sz w:val="18"/>
              </w:rPr>
              <w:t>更大冻结确认</w:t>
            </w:r>
          </w:p>
        </w:tc>
      </w:tr>
      <w:tr>
        <w:trPr>
          <w:cantSplit/>
        </w:trPr>
        <w:tc>
          <w:tcPr>
            <w:tcW w:type="dxa" w:w="2268"/>
            <w:vAlign w:val="center"/>
          </w:tcPr>
          <w:p>
            <w:pPr>
              <w:spacing w:after="60" w:before="60" w:line="240" w:lineRule="auto"/>
            </w:pPr>
            <w:r>
              <w:rPr>
                <w:rFonts w:eastAsia="Noto Sans CJK SC"/>
                <w:b w:val="0"/>
                <w:sz w:val="18"/>
              </w:rPr>
              <w:t>风险—覆盖率</w:t>
            </w:r>
          </w:p>
        </w:tc>
        <w:tc>
          <w:tcPr>
            <w:tcW w:type="dxa" w:w="1701"/>
            <w:vAlign w:val="center"/>
          </w:tcPr>
          <w:p>
            <w:pPr>
              <w:spacing w:after="60" w:before="60" w:line="240" w:lineRule="auto"/>
            </w:pPr>
            <w:r>
              <w:rPr>
                <w:rFonts w:eastAsia="Noto Sans CJK SC"/>
                <w:b w:val="0"/>
                <w:sz w:val="18"/>
              </w:rPr>
              <w:t>上述 900+200+500=1,600 题</w:t>
            </w:r>
          </w:p>
        </w:tc>
        <w:tc>
          <w:tcPr>
            <w:tcW w:type="dxa" w:w="2665"/>
            <w:vAlign w:val="center"/>
          </w:tcPr>
          <w:p>
            <w:pPr>
              <w:spacing w:after="60" w:before="60" w:line="240" w:lineRule="auto"/>
            </w:pPr>
            <w:r>
              <w:rPr>
                <w:rFonts w:eastAsia="Noto Sans CJK SC"/>
                <w:b w:val="0"/>
                <w:sz w:val="18"/>
              </w:rPr>
              <w:t>实际默认输出特征</w:t>
            </w:r>
          </w:p>
        </w:tc>
        <w:tc>
          <w:tcPr>
            <w:tcW w:type="dxa" w:w="2891"/>
            <w:vAlign w:val="center"/>
          </w:tcPr>
          <w:p>
            <w:pPr>
              <w:spacing w:after="60" w:before="60" w:line="240" w:lineRule="auto"/>
            </w:pPr>
            <w:r>
              <w:rPr>
                <w:rFonts w:eastAsia="Noto Sans CJK SC"/>
                <w:b w:val="0"/>
                <w:sz w:val="18"/>
              </w:rPr>
              <w:t>合并后开发分析，不再独立</w:t>
            </w:r>
          </w:p>
        </w:tc>
      </w:tr>
      <w:tr>
        <w:trPr>
          <w:cantSplit/>
        </w:trPr>
        <w:tc>
          <w:tcPr>
            <w:tcW w:type="dxa" w:w="2268"/>
            <w:vAlign w:val="center"/>
          </w:tcPr>
          <w:p>
            <w:pPr>
              <w:spacing w:after="60" w:before="60" w:line="240" w:lineRule="auto"/>
            </w:pPr>
            <w:r>
              <w:rPr>
                <w:rFonts w:eastAsia="Noto Sans CJK SC"/>
                <w:b w:val="0"/>
                <w:sz w:val="18"/>
              </w:rPr>
              <w:t>静态—动态</w:t>
            </w:r>
          </w:p>
        </w:tc>
        <w:tc>
          <w:tcPr>
            <w:tcW w:type="dxa" w:w="1701"/>
            <w:vAlign w:val="center"/>
          </w:tcPr>
          <w:p>
            <w:pPr>
              <w:spacing w:after="60" w:before="60" w:line="240" w:lineRule="auto"/>
            </w:pPr>
            <w:r>
              <w:rPr>
                <w:rFonts w:eastAsia="Noto Sans CJK SC"/>
                <w:b w:val="0"/>
                <w:sz w:val="18"/>
              </w:rPr>
              <w:t>48 任务</w:t>
            </w:r>
          </w:p>
        </w:tc>
        <w:tc>
          <w:tcPr>
            <w:tcW w:type="dxa" w:w="2665"/>
            <w:vAlign w:val="center"/>
          </w:tcPr>
          <w:p>
            <w:pPr>
              <w:spacing w:after="60" w:before="60" w:line="240" w:lineRule="auto"/>
            </w:pPr>
            <w:r>
              <w:rPr>
                <w:rFonts w:eastAsia="Noto Sans CJK SC"/>
                <w:b w:val="0"/>
                <w:sz w:val="18"/>
              </w:rPr>
              <w:t>实际上游输出，理想失败判定</w:t>
            </w:r>
          </w:p>
        </w:tc>
        <w:tc>
          <w:tcPr>
            <w:tcW w:type="dxa" w:w="2891"/>
            <w:vAlign w:val="center"/>
          </w:tcPr>
          <w:p>
            <w:pPr>
              <w:spacing w:after="60" w:before="60" w:line="240" w:lineRule="auto"/>
            </w:pPr>
            <w:r>
              <w:rPr>
                <w:rFonts w:eastAsia="Noto Sans CJK SC"/>
                <w:b w:val="0"/>
                <w:sz w:val="18"/>
              </w:rPr>
              <w:t>已分析面板、真实分歧调用</w:t>
            </w:r>
          </w:p>
        </w:tc>
      </w:tr>
      <w:tr>
        <w:trPr>
          <w:cantSplit/>
        </w:trPr>
        <w:tc>
          <w:tcPr>
            <w:tcW w:type="dxa" w:w="2268"/>
            <w:vAlign w:val="center"/>
          </w:tcPr>
          <w:p>
            <w:pPr>
              <w:spacing w:after="60" w:before="60" w:line="240" w:lineRule="auto"/>
            </w:pPr>
            <w:r>
              <w:rPr>
                <w:rFonts w:eastAsia="Noto Sans CJK SC"/>
                <w:b w:val="0"/>
                <w:sz w:val="18"/>
              </w:rPr>
              <w:t>真实失败恢复</w:t>
            </w:r>
          </w:p>
        </w:tc>
        <w:tc>
          <w:tcPr>
            <w:tcW w:type="dxa" w:w="1701"/>
            <w:vAlign w:val="center"/>
          </w:tcPr>
          <w:p>
            <w:pPr>
              <w:spacing w:after="60" w:before="60" w:line="240" w:lineRule="auto"/>
            </w:pPr>
            <w:r>
              <w:rPr>
                <w:rFonts w:eastAsia="Noto Sans CJK SC"/>
                <w:b w:val="0"/>
                <w:sz w:val="18"/>
              </w:rPr>
              <w:t>116 节点、96 任务</w:t>
            </w:r>
          </w:p>
        </w:tc>
        <w:tc>
          <w:tcPr>
            <w:tcW w:type="dxa" w:w="2665"/>
            <w:vAlign w:val="center"/>
          </w:tcPr>
          <w:p>
            <w:pPr>
              <w:spacing w:after="60" w:before="60" w:line="240" w:lineRule="auto"/>
            </w:pPr>
            <w:r>
              <w:rPr>
                <w:rFonts w:eastAsia="Noto Sans CJK SC"/>
                <w:b w:val="0"/>
                <w:sz w:val="18"/>
              </w:rPr>
              <w:t>已审计失败快照</w:t>
            </w:r>
          </w:p>
        </w:tc>
        <w:tc>
          <w:tcPr>
            <w:tcW w:type="dxa" w:w="2891"/>
            <w:vAlign w:val="center"/>
          </w:tcPr>
          <w:p>
            <w:pPr>
              <w:spacing w:after="60" w:before="60" w:line="240" w:lineRule="auto"/>
            </w:pPr>
            <w:r>
              <w:rPr>
                <w:rFonts w:eastAsia="Noto Sans CJK SC"/>
                <w:b w:val="0"/>
                <w:sz w:val="18"/>
              </w:rPr>
              <w:t>固定动作覆盖与预算回放</w:t>
            </w:r>
          </w:p>
        </w:tc>
      </w:tr>
      <w:tr>
        <w:trPr>
          <w:cantSplit/>
        </w:trPr>
        <w:tc>
          <w:tcPr>
            <w:tcW w:type="dxa" w:w="2268"/>
            <w:vAlign w:val="center"/>
          </w:tcPr>
          <w:p>
            <w:pPr>
              <w:spacing w:after="60" w:before="60" w:line="240" w:lineRule="auto"/>
            </w:pPr>
            <w:r>
              <w:rPr>
                <w:rFonts w:eastAsia="Noto Sans CJK SC"/>
                <w:b w:val="0"/>
                <w:sz w:val="18"/>
              </w:rPr>
              <w:t>历史图复用</w:t>
            </w:r>
          </w:p>
        </w:tc>
        <w:tc>
          <w:tcPr>
            <w:tcW w:type="dxa" w:w="1701"/>
            <w:vAlign w:val="center"/>
          </w:tcPr>
          <w:p>
            <w:pPr>
              <w:spacing w:after="60" w:before="60" w:line="240" w:lineRule="auto"/>
            </w:pPr>
            <w:r>
              <w:rPr>
                <w:rFonts w:eastAsia="Noto Sans CJK SC"/>
                <w:b w:val="0"/>
                <w:sz w:val="18"/>
              </w:rPr>
              <w:t>20 个追问</w:t>
            </w:r>
          </w:p>
        </w:tc>
        <w:tc>
          <w:tcPr>
            <w:tcW w:type="dxa" w:w="2665"/>
            <w:vAlign w:val="center"/>
          </w:tcPr>
          <w:p>
            <w:pPr>
              <w:spacing w:after="60" w:before="60" w:line="240" w:lineRule="auto"/>
            </w:pPr>
            <w:r>
              <w:rPr>
                <w:rFonts w:eastAsia="Noto Sans CJK SC"/>
                <w:b w:val="0"/>
                <w:sz w:val="18"/>
              </w:rPr>
              <w:t>显式修改与局部重算</w:t>
            </w:r>
          </w:p>
        </w:tc>
        <w:tc>
          <w:tcPr>
            <w:tcW w:type="dxa" w:w="2891"/>
            <w:vAlign w:val="center"/>
          </w:tcPr>
          <w:p>
            <w:pPr>
              <w:spacing w:after="60" w:before="60" w:line="240" w:lineRule="auto"/>
            </w:pPr>
            <w:r>
              <w:rPr>
                <w:rFonts w:eastAsia="Noto Sans CJK SC"/>
                <w:b w:val="0"/>
                <w:sz w:val="18"/>
              </w:rPr>
              <w:t>特定多轮工作负载</w:t>
            </w:r>
          </w:p>
        </w:tc>
      </w:tr>
    </w:tbl>
    <w:p>
      <w:pPr>
        <w:pStyle w:val="BodyText"/>
      </w:pPr>
      <w:r>
        <w:t xml:space="preserve">四个转换节点不计入条件节点主表。跨模型的 200 题与 Conf-200 是不同面板，前者不能作为未见确认。旧 formal replay 使用预先记录的条件节点结果，不能替代真实传播；本稿以真实输入来源明确的矩阵与动态比较为主，不把历史 formal replay 均值并入主结果。</w:t>
      </w:r>
    </w:p>
    <w:p>
      <w:pPr>
        <w:pStyle w:val="Heading3"/>
      </w:pPr>
      <w:bookmarkStart w:id="45" w:name="模型表示与执行环境"/>
      <w:r>
        <w:t xml:space="preserve">4.2 模型、表示与执行环境</w:t>
      </w:r>
      <w:bookmarkEnd w:id="45"/>
    </w:p>
    <w:p>
      <w:pPr>
        <w:pStyle w:val="FirstParagraph"/>
      </w:pPr>
      <w:r>
        <w:t xml:space="preserve">核心候选池固定为 medium、large、coder，R1 不进入节点路由。别名对应既有协议的模型与服务配置；不同历史实验的生成配置遵循各自冻结版本，本轮未重新调用模型。条件节点预测器采用冻结 GTE 表示和 Ridge 头，类型先验不学习实例表示。后续传播画像与两阶段选择器按各自开发协议训练，与早期条件节点预测器区分。</w:t>
      </w:r>
    </w:p>
    <w:p>
      <w:pPr>
        <w:pStyle w:val="BodyText"/>
      </w:pPr>
      <w:r>
        <w:t xml:space="preserve">实验在项目现有 GPU 与 vLLM 推理服务环境采集。资源比较以同面板记录为准；模型驻留、提示长度及接口会影响服务时长。本文不把服务时长总和称为包含加载、排队、调度的端到端墙钟延迟，也不从不同历史服务配置推断硬件加速。具体模型路径、采集脚本和协议由证据清单追溯。</w:t>
      </w:r>
    </w:p>
    <w:p>
      <w:pPr>
        <w:pStyle w:val="Heading3"/>
      </w:pPr>
      <w:bookmarkStart w:id="46" w:name="对照与指标"/>
      <w:r>
        <w:t xml:space="preserve">4.3 对照与指标</w:t>
      </w:r>
      <w:bookmarkEnd w:id="46"/>
    </w:p>
    <w:p>
      <w:pPr>
        <w:pStyle w:val="FirstParagraph"/>
      </w:pPr>
      <w:r>
        <w:t xml:space="preserve">对照包括查询路由、类型先验、冻结节点路由、强固定模型、固定跨模型组合、静态执行、动态执行以及不同候选空间的事后 Oracle。不同 Oracle 均标明候选集合；逐节点、三条同模型链、九种跨模型组合与恢复动作集合的上界不可互换。</w:t>
      </w:r>
    </w:p>
    <w:p>
      <w:pPr>
        <w:pStyle w:val="BodyText"/>
      </w:pPr>
      <w:r>
        <w:t xml:space="preserve">节点质量是指定评分器的平均分；任务成功率是最终答案正确的任务比例。成本记录 tokens，调用次数单独计算；时延采用记录的服务时间。Help 指默认错误而新策略正确，Harm 指默认正确而新策略错误，二者之差对应正确任务数净变化。真实失败恢复率仅在原最终答案错误的集合上计算。历史复用率的分母为对应追问需要的逻辑节点数量。</w:t>
      </w:r>
    </w:p>
    <w:p>
      <w:pPr>
        <w:pStyle w:val="BodyText"/>
      </w:pPr>
      <w:r>
        <w:t xml:space="preserve">对参考策略 b 与相同候选空间 Oracle，差距恢复比例定义为</w:t>
      </w:r>
    </w:p>
    <w:p>
      <w:pPr>
        <w:pStyle w:val="BodyText"/>
      </w:pPr>
      <m:oMathPara>
        <m:oMathParaPr>
          <m:jc m:val="center"/>
        </m:oMathParaPr>
        <m:oMath>
          <m:r>
            <m:rPr>
              <m:nor/>
              <m:sty m:val="p"/>
            </m:rPr>
            <m:t>GR</m:t>
          </m:r>
          <m:r>
            <m:t>(</m:t>
          </m:r>
          <m:r>
            <m:t>r</m:t>
          </m:r>
          <m:r>
            <m:t>;</m:t>
          </m:r>
          <m:r>
            <m:t>b</m:t>
          </m:r>
          <m:r>
            <m:t>)</m:t>
          </m:r>
          <m:r>
            <m:t>=</m:t>
          </m:r>
          <m:f>
            <m:fPr>
              <m:type m:val="bar"/>
            </m:fPr>
            <m:num>
              <m:sSub>
                <m:e>
                  <m:r>
                    <m:t>Q</m:t>
                  </m:r>
                </m:e>
                <m:sub>
                  <m:r>
                    <m:t>r</m:t>
                  </m:r>
                </m:sub>
              </m:sSub>
              <m:r>
                <m:t>−</m:t>
              </m:r>
              <m:sSub>
                <m:e>
                  <m:r>
                    <m:t>Q</m:t>
                  </m:r>
                </m:e>
                <m:sub>
                  <m:r>
                    <m:t>b</m:t>
                  </m:r>
                </m:sub>
              </m:sSub>
            </m:num>
            <m:den>
              <m:sSub>
                <m:e>
                  <m:r>
                    <m:t>Q</m:t>
                  </m:r>
                </m:e>
                <m:sub>
                  <m:r>
                    <m:rPr>
                      <m:sty m:val="p"/>
                    </m:rPr>
                    <m:t>O</m:t>
                  </m:r>
                  <m:r>
                    <m:rPr>
                      <m:sty m:val="p"/>
                    </m:rPr>
                    <m:t>r</m:t>
                  </m:r>
                  <m:r>
                    <m:rPr>
                      <m:sty m:val="p"/>
                    </m:rPr>
                    <m:t>a</m:t>
                  </m:r>
                  <m:r>
                    <m:rPr>
                      <m:sty m:val="p"/>
                    </m:rPr>
                    <m:t>c</m:t>
                  </m:r>
                  <m:r>
                    <m:rPr>
                      <m:sty m:val="p"/>
                    </m:rPr>
                    <m:t>l</m:t>
                  </m:r>
                  <m:r>
                    <m:rPr>
                      <m:sty m:val="p"/>
                    </m:rPr>
                    <m:t>e</m:t>
                  </m:r>
                </m:sub>
              </m:sSub>
              <m:r>
                <m:t>−</m:t>
              </m:r>
              <m:sSub>
                <m:e>
                  <m:r>
                    <m:t>Q</m:t>
                  </m:r>
                </m:e>
                <m:sub>
                  <m:r>
                    <m:t>b</m:t>
                  </m:r>
                </m:sub>
              </m:sSub>
            </m:den>
          </m:f>
          <m:r>
            <m:t>.</m:t>
          </m:r>
        </m:oMath>
      </m:oMathPara>
    </w:p>
    <w:p>
      <w:pPr>
        <w:pStyle w:val="FirstParagraph"/>
      </w:pPr>
      <w:r>
        <w:t xml:space="preserve">分母须为正，且三项必须来自相同面板和评分口径。负值表示方法低于参考策略，不应截为零。该比例不是正确率，也不等于所有潜在协同机会已被覆盖。</w:t>
      </w:r>
    </w:p>
    <w:p>
      <w:pPr>
        <w:pStyle w:val="Heading3"/>
      </w:pPr>
      <w:bookmarkStart w:id="47" w:name="统计与信息边界"/>
      <w:r>
        <w:t xml:space="preserve">4.4 统计与信息边界</w:t>
      </w:r>
      <w:bookmarkEnd w:id="47"/>
    </w:p>
    <w:p>
      <w:pPr>
        <w:pStyle w:val="FirstParagraph"/>
      </w:pPr>
      <w:r>
        <w:t xml:space="preserve">节点方法的配对区间按任务聚类，保留任务内节点关联；确认与动态比较按任务配对。本文沿用已有冻结结果和先前留档审计，不新增重采样实验。区间包含零时不称显著，少量 Help/Harm 不证明普遍安全。事后评分器复核与开发分析均明确标识。</w:t>
      </w:r>
    </w:p>
    <w:p>
      <w:pPr>
        <w:pStyle w:val="BodyText"/>
      </w:pPr>
      <w:r>
        <w:t xml:space="preserve">标准答案、程序与必要操作数仅用于离线标签和评价，运行恢复输入应由真实快照构成。历史试验若使用标准事实、理想失败检测、事后已知开销或离线成功停止，则按相应条件解释。表中均值不构成线上开销保证；探索性诊断缺少完整配对来源时，不提升为正式确认结果。</w:t>
      </w:r>
    </w:p>
    <w:p>
      <w:pPr>
        <w:pStyle w:val="Heading2"/>
      </w:pPr>
      <w:bookmarkStart w:id="48" w:name="实验结果与分析"/>
      <w:r>
        <w:t xml:space="preserve">5 实验结果与分析</w:t>
      </w:r>
      <w:bookmarkEnd w:id="48"/>
    </w:p>
    <w:p>
      <w:pPr>
        <w:pStyle w:val="FirstParagraph"/>
      </w:pPr>
      <w:r>
        <w:t xml:space="preserve">本章围绕阶段互补、输入传播、组合上界、可路由性、选择性干预及恢复约束八个研究问题展开。条件化节点质量、传播链最终正确率和失败子集恢复率分别报告；不同面板的均值不直接合并。主要结果编号与来源在 FINAL_CLAIM_AUDIT.md 中对应。</w:t>
      </w:r>
    </w:p>
    <w:p>
      <w:pPr>
        <w:pStyle w:val="Heading3"/>
      </w:pPr>
      <w:bookmarkStart w:id="49" w:name="阶段级能力互补是否存在"/>
      <w:r>
        <w:t xml:space="preserve">5.1 阶段级能力互补是否存在</w:t>
      </w:r>
      <w:bookmarkEnd w:id="49"/>
    </w:p>
    <w:p>
      <w:pPr>
        <w:pStyle w:val="FirstParagraph"/>
      </w:pPr>
      <w:r>
        <w:t xml:space="preserve">在 100 任务、493 个主要节点的冻结确认面板上，三候选模型分别执行节点，以扩展执行器统一评分。推理与验证采用基准规定的条件输入，因此本节首先测量阶段能力，而不是完整链成功率。</w:t>
      </w:r>
    </w:p>
    <w:p>
      <w:pPr>
        <w:pStyle w:val="BodyText"/>
        <w:keepNext/>
        <w:spacing w:before="160"/>
      </w:pPr>
      <w:r>
        <w:t xml:space="preserve">表 5-1 不同节点类型的条件化质量</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类型</w:t>
            </w:r>
          </w:p>
        </w:tc>
        <w:tc>
          <w:tcPr>
            <w:tcW w:type="dxa" w:w="876"/>
            <w:vAlign w:val="center"/>
            <w:shd w:fill="E8EDF2"/>
          </w:tcPr>
          <w:p>
            <w:pPr>
              <w:spacing w:after="60" w:before="60" w:line="240" w:lineRule="auto"/>
            </w:pPr>
            <w:r>
              <w:rPr>
                <w:rFonts w:eastAsia="Noto Sans CJK SC"/>
                <w:b/>
                <w:sz w:val="18"/>
              </w:rPr>
              <w:t>节点数</w:t>
            </w:r>
          </w:p>
        </w:tc>
        <w:tc>
          <w:tcPr>
            <w:tcW w:type="dxa" w:w="1519"/>
            <w:vAlign w:val="center"/>
            <w:shd w:fill="E8EDF2"/>
          </w:tcPr>
          <w:p>
            <w:pPr>
              <w:spacing w:after="60" w:before="60" w:line="240" w:lineRule="auto"/>
            </w:pPr>
            <w:r>
              <w:rPr>
                <w:rFonts w:eastAsia="Noto Sans CJK SC"/>
                <w:b/>
                <w:sz w:val="18"/>
              </w:rPr>
              <w:t>medium</w:t>
            </w:r>
          </w:p>
        </w:tc>
        <w:tc>
          <w:tcPr>
            <w:tcW w:type="dxa" w:w="1578"/>
            <w:vAlign w:val="center"/>
            <w:shd w:fill="E8EDF2"/>
          </w:tcPr>
          <w:p>
            <w:pPr>
              <w:spacing w:after="60" w:before="60" w:line="240" w:lineRule="auto"/>
            </w:pPr>
            <w:r>
              <w:rPr>
                <w:rFonts w:eastAsia="Noto Sans CJK SC"/>
                <w:b/>
                <w:sz w:val="18"/>
              </w:rPr>
              <w:t>large</w:t>
            </w:r>
          </w:p>
        </w:tc>
        <w:tc>
          <w:tcPr>
            <w:tcW w:type="dxa" w:w="2045"/>
            <w:vAlign w:val="center"/>
            <w:shd w:fill="E8EDF2"/>
          </w:tcPr>
          <w:p>
            <w:pPr>
              <w:spacing w:after="60" w:before="60" w:line="240" w:lineRule="auto"/>
            </w:pPr>
            <w:r>
              <w:rPr>
                <w:rFonts w:eastAsia="Noto Sans CJK SC"/>
                <w:b/>
                <w:sz w:val="18"/>
              </w:rPr>
              <w:t>coder</w:t>
            </w:r>
          </w:p>
        </w:tc>
        <w:tc>
          <w:tcPr>
            <w:tcW w:type="dxa" w:w="1811"/>
            <w:vAlign w:val="center"/>
            <w:shd w:fill="E8EDF2"/>
          </w:tcPr>
          <w:p>
            <w:pPr>
              <w:spacing w:after="60" w:before="60" w:line="240" w:lineRule="auto"/>
            </w:pPr>
            <w:r>
              <w:rPr>
                <w:rFonts w:eastAsia="Noto Sans CJK SC"/>
                <w:b/>
                <w:sz w:val="18"/>
              </w:rPr>
              <w:t>逐节点 Oracle</w:t>
            </w:r>
          </w:p>
        </w:tc>
      </w:tr>
      <w:tr>
        <w:trPr>
          <w:cantSplit/>
        </w:trPr>
        <w:tc>
          <w:tcPr>
            <w:tcW w:type="dxa" w:w="1695"/>
            <w:vAlign w:val="center"/>
          </w:tcPr>
          <w:p>
            <w:pPr>
              <w:spacing w:after="60" w:before="60" w:line="240" w:lineRule="auto"/>
            </w:pPr>
            <w:r>
              <w:rPr>
                <w:rFonts w:eastAsia="Noto Sans CJK SC"/>
                <w:b w:val="0"/>
                <w:sz w:val="18"/>
              </w:rPr>
              <w:t>抽取</w:t>
            </w:r>
          </w:p>
        </w:tc>
        <w:tc>
          <w:tcPr>
            <w:tcW w:type="dxa" w:w="876"/>
            <w:vAlign w:val="center"/>
          </w:tcPr>
          <w:p>
            <w:pPr>
              <w:spacing w:after="60" w:before="60" w:line="240" w:lineRule="auto"/>
            </w:pPr>
            <w:r>
              <w:rPr>
                <w:rFonts w:eastAsia="Noto Sans CJK SC"/>
                <w:b w:val="0"/>
                <w:sz w:val="18"/>
              </w:rPr>
              <w:t>193</w:t>
            </w:r>
          </w:p>
        </w:tc>
        <w:tc>
          <w:tcPr>
            <w:tcW w:type="dxa" w:w="1519"/>
            <w:vAlign w:val="center"/>
          </w:tcPr>
          <w:p>
            <w:pPr>
              <w:spacing w:after="60" w:before="60" w:line="240" w:lineRule="auto"/>
            </w:pPr>
            <w:r>
              <w:rPr>
                <w:rFonts w:eastAsia="Noto Sans CJK SC"/>
                <w:b w:val="0"/>
                <w:sz w:val="18"/>
              </w:rPr>
              <w:t>0.3731</w:t>
            </w:r>
          </w:p>
        </w:tc>
        <w:tc>
          <w:tcPr>
            <w:tcW w:type="dxa" w:w="1578"/>
            <w:vAlign w:val="center"/>
          </w:tcPr>
          <w:p>
            <w:pPr>
              <w:spacing w:after="60" w:before="60" w:line="240" w:lineRule="auto"/>
            </w:pPr>
            <w:r>
              <w:rPr>
                <w:rFonts w:eastAsia="Noto Sans CJK SC"/>
                <w:b w:val="0"/>
                <w:sz w:val="18"/>
              </w:rPr>
              <w:t>0.5959</w:t>
            </w:r>
          </w:p>
        </w:tc>
        <w:tc>
          <w:tcPr>
            <w:tcW w:type="dxa" w:w="2045"/>
            <w:vAlign w:val="center"/>
          </w:tcPr>
          <w:p>
            <w:pPr>
              <w:spacing w:after="60" w:before="60" w:line="240" w:lineRule="auto"/>
            </w:pPr>
            <w:r>
              <w:rPr>
                <w:rFonts w:eastAsia="Noto Sans CJK SC"/>
                <w:b w:val="0"/>
                <w:sz w:val="18"/>
              </w:rPr>
              <w:t>0.3782</w:t>
            </w:r>
          </w:p>
        </w:tc>
        <w:tc>
          <w:tcPr>
            <w:tcW w:type="dxa" w:w="1811"/>
            <w:vAlign w:val="center"/>
          </w:tcPr>
          <w:p>
            <w:pPr>
              <w:spacing w:after="60" w:before="60" w:line="240" w:lineRule="auto"/>
            </w:pPr>
            <w:r>
              <w:rPr>
                <w:rFonts w:eastAsia="Noto Sans CJK SC"/>
                <w:b w:val="0"/>
                <w:sz w:val="18"/>
              </w:rPr>
              <w:t>0.6943</w:t>
            </w:r>
          </w:p>
        </w:tc>
      </w:tr>
      <w:tr>
        <w:trPr>
          <w:cantSplit/>
        </w:trPr>
        <w:tc>
          <w:tcPr>
            <w:tcW w:type="dxa" w:w="1695"/>
            <w:vAlign w:val="center"/>
          </w:tcPr>
          <w:p>
            <w:pPr>
              <w:spacing w:after="60" w:before="60" w:line="240" w:lineRule="auto"/>
            </w:pPr>
            <w:r>
              <w:rPr>
                <w:rFonts w:eastAsia="Noto Sans CJK SC"/>
                <w:b w:val="0"/>
                <w:sz w:val="18"/>
              </w:rPr>
              <w:t>推理</w:t>
            </w:r>
          </w:p>
        </w:tc>
        <w:tc>
          <w:tcPr>
            <w:tcW w:type="dxa" w:w="876"/>
            <w:vAlign w:val="center"/>
          </w:tcPr>
          <w:p>
            <w:pPr>
              <w:spacing w:after="60" w:before="60" w:line="240" w:lineRule="auto"/>
            </w:pPr>
            <w:r>
              <w:rPr>
                <w:rFonts w:eastAsia="Noto Sans CJK SC"/>
                <w:b w:val="0"/>
                <w:sz w:val="18"/>
              </w:rPr>
              <w:t>100</w:t>
            </w:r>
          </w:p>
        </w:tc>
        <w:tc>
          <w:tcPr>
            <w:tcW w:type="dxa" w:w="1519"/>
            <w:vAlign w:val="center"/>
          </w:tcPr>
          <w:p>
            <w:pPr>
              <w:spacing w:after="60" w:before="60" w:line="240" w:lineRule="auto"/>
            </w:pPr>
            <w:r>
              <w:rPr>
                <w:rFonts w:eastAsia="Noto Sans CJK SC"/>
                <w:b w:val="0"/>
                <w:sz w:val="18"/>
              </w:rPr>
              <w:t>0.3100</w:t>
            </w:r>
          </w:p>
        </w:tc>
        <w:tc>
          <w:tcPr>
            <w:tcW w:type="dxa" w:w="1578"/>
            <w:vAlign w:val="center"/>
          </w:tcPr>
          <w:p>
            <w:pPr>
              <w:spacing w:after="60" w:before="60" w:line="240" w:lineRule="auto"/>
            </w:pPr>
            <w:r>
              <w:rPr>
                <w:rFonts w:eastAsia="Noto Sans CJK SC"/>
                <w:b w:val="0"/>
                <w:sz w:val="18"/>
              </w:rPr>
              <w:t>0.2500</w:t>
            </w:r>
          </w:p>
        </w:tc>
        <w:tc>
          <w:tcPr>
            <w:tcW w:type="dxa" w:w="2045"/>
            <w:vAlign w:val="center"/>
          </w:tcPr>
          <w:p>
            <w:pPr>
              <w:spacing w:after="60" w:before="60" w:line="240" w:lineRule="auto"/>
            </w:pPr>
            <w:r>
              <w:rPr>
                <w:rFonts w:eastAsia="Noto Sans CJK SC"/>
                <w:b w:val="0"/>
                <w:sz w:val="18"/>
              </w:rPr>
              <w:t>0.3100</w:t>
            </w:r>
          </w:p>
        </w:tc>
        <w:tc>
          <w:tcPr>
            <w:tcW w:type="dxa" w:w="1811"/>
            <w:vAlign w:val="center"/>
          </w:tcPr>
          <w:p>
            <w:pPr>
              <w:spacing w:after="60" w:before="60" w:line="240" w:lineRule="auto"/>
            </w:pPr>
            <w:r>
              <w:rPr>
                <w:rFonts w:eastAsia="Noto Sans CJK SC"/>
                <w:b w:val="0"/>
                <w:sz w:val="18"/>
              </w:rPr>
              <w:t>0.4100</w:t>
            </w:r>
          </w:p>
        </w:tc>
      </w:tr>
      <w:tr>
        <w:trPr>
          <w:cantSplit/>
        </w:trPr>
        <w:tc>
          <w:tcPr>
            <w:tcW w:type="dxa" w:w="1695"/>
            <w:vAlign w:val="center"/>
          </w:tcPr>
          <w:p>
            <w:pPr>
              <w:spacing w:after="60" w:before="60" w:line="240" w:lineRule="auto"/>
            </w:pPr>
            <w:r>
              <w:rPr>
                <w:rFonts w:eastAsia="Noto Sans CJK SC"/>
                <w:b w:val="0"/>
                <w:sz w:val="18"/>
              </w:rPr>
              <w:t>验证</w:t>
            </w:r>
          </w:p>
        </w:tc>
        <w:tc>
          <w:tcPr>
            <w:tcW w:type="dxa" w:w="876"/>
            <w:vAlign w:val="center"/>
          </w:tcPr>
          <w:p>
            <w:pPr>
              <w:spacing w:after="60" w:before="60" w:line="240" w:lineRule="auto"/>
            </w:pPr>
            <w:r>
              <w:rPr>
                <w:rFonts w:eastAsia="Noto Sans CJK SC"/>
                <w:b w:val="0"/>
                <w:sz w:val="18"/>
              </w:rPr>
              <w:t>200</w:t>
            </w:r>
          </w:p>
        </w:tc>
        <w:tc>
          <w:tcPr>
            <w:tcW w:type="dxa" w:w="1519"/>
            <w:vAlign w:val="center"/>
          </w:tcPr>
          <w:p>
            <w:pPr>
              <w:spacing w:after="60" w:before="60" w:line="240" w:lineRule="auto"/>
            </w:pPr>
            <w:r>
              <w:rPr>
                <w:rFonts w:eastAsia="Noto Sans CJK SC"/>
                <w:b w:val="0"/>
                <w:sz w:val="18"/>
              </w:rPr>
              <w:t>0.5200</w:t>
            </w:r>
          </w:p>
        </w:tc>
        <w:tc>
          <w:tcPr>
            <w:tcW w:type="dxa" w:w="1578"/>
            <w:vAlign w:val="center"/>
          </w:tcPr>
          <w:p>
            <w:pPr>
              <w:spacing w:after="60" w:before="60" w:line="240" w:lineRule="auto"/>
            </w:pPr>
            <w:r>
              <w:rPr>
                <w:rFonts w:eastAsia="Noto Sans CJK SC"/>
                <w:b w:val="0"/>
                <w:sz w:val="18"/>
              </w:rPr>
              <w:t>0.4550</w:t>
            </w:r>
          </w:p>
        </w:tc>
        <w:tc>
          <w:tcPr>
            <w:tcW w:type="dxa" w:w="2045"/>
            <w:vAlign w:val="center"/>
          </w:tcPr>
          <w:p>
            <w:pPr>
              <w:spacing w:after="60" w:before="60" w:line="240" w:lineRule="auto"/>
            </w:pPr>
            <w:r>
              <w:rPr>
                <w:rFonts w:eastAsia="Noto Sans CJK SC"/>
                <w:b w:val="0"/>
                <w:sz w:val="18"/>
              </w:rPr>
              <w:t>0.5900</w:t>
            </w:r>
          </w:p>
        </w:tc>
        <w:tc>
          <w:tcPr>
            <w:tcW w:type="dxa" w:w="1811"/>
            <w:vAlign w:val="center"/>
          </w:tcPr>
          <w:p>
            <w:pPr>
              <w:spacing w:after="60" w:before="60" w:line="240" w:lineRule="auto"/>
            </w:pPr>
            <w:r>
              <w:rPr>
                <w:rFonts w:eastAsia="Noto Sans CJK SC"/>
                <w:b w:val="0"/>
                <w:sz w:val="18"/>
              </w:rPr>
              <w:t>0.6200</w:t>
            </w:r>
          </w:p>
        </w:tc>
      </w:tr>
    </w:tbl>
    <w:p>
      <w:pPr>
        <w:pStyle w:val="BodyText"/>
      </w:pPr>
      <w:r>
        <w:t xml:space="preserve">large 在抽取上占优，medium 与 coder 的推理均值并列最高，coder 的验证质量最高。类型内 Oracle 相对最佳固定模型分别存在约 9.84、10.00 和 3.00 个百分点的差距。模型优势因阶段而异，为节点级选择提供经验依据；Oracle 使用事后标签，不能直接证明这些机会可被输入特征预测。</w:t>
      </w:r>
    </w:p>
    <w:p>
      <w:pPr>
        <w:pStyle w:val="BodyText"/>
        <w:keepNext/>
        <w:spacing w:before="160"/>
      </w:pPr>
      <w:r>
        <w:t xml:space="preserve">表 5-2 冻结路由与类型先验比较</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方法</w:t>
            </w:r>
          </w:p>
        </w:tc>
        <w:tc>
          <w:tcPr>
            <w:tcW w:type="dxa" w:w="1701"/>
            <w:vAlign w:val="center"/>
            <w:shd w:fill="E8EDF2"/>
          </w:tcPr>
          <w:p>
            <w:pPr>
              <w:spacing w:after="60" w:before="60" w:line="240" w:lineRule="auto"/>
            </w:pPr>
            <w:r>
              <w:rPr>
                <w:rFonts w:eastAsia="Noto Sans CJK SC"/>
                <w:b/>
                <w:sz w:val="18"/>
              </w:rPr>
              <w:t>平均节点质量</w:t>
            </w:r>
          </w:p>
        </w:tc>
        <w:tc>
          <w:tcPr>
            <w:tcW w:type="dxa" w:w="2665"/>
            <w:vAlign w:val="center"/>
            <w:shd w:fill="E8EDF2"/>
          </w:tcPr>
          <w:p>
            <w:pPr>
              <w:spacing w:after="60" w:before="60" w:line="240" w:lineRule="auto"/>
            </w:pPr>
            <w:r>
              <w:rPr>
                <w:rFonts w:eastAsia="Noto Sans CJK SC"/>
                <w:b/>
                <w:sz w:val="18"/>
              </w:rPr>
              <w:t>每任务 tokens</w:t>
            </w:r>
          </w:p>
        </w:tc>
        <w:tc>
          <w:tcPr>
            <w:tcW w:type="dxa" w:w="2891"/>
            <w:vAlign w:val="center"/>
            <w:shd w:fill="E8EDF2"/>
          </w:tcPr>
          <w:p>
            <w:pPr>
              <w:spacing w:after="60" w:before="60" w:line="240" w:lineRule="auto"/>
            </w:pPr>
            <w:r>
              <w:rPr>
                <w:rFonts w:eastAsia="Noto Sans CJK SC"/>
                <w:b/>
                <w:sz w:val="18"/>
              </w:rPr>
              <w:t>每任务服务时间总和（秒）</w:t>
            </w:r>
          </w:p>
        </w:tc>
      </w:tr>
      <w:tr>
        <w:trPr>
          <w:cantSplit/>
        </w:trPr>
        <w:tc>
          <w:tcPr>
            <w:tcW w:type="dxa" w:w="2268"/>
            <w:vAlign w:val="center"/>
          </w:tcPr>
          <w:p>
            <w:pPr>
              <w:spacing w:after="60" w:before="60" w:line="240" w:lineRule="auto"/>
            </w:pPr>
            <w:r>
              <w:rPr>
                <w:rFonts w:eastAsia="Noto Sans CJK SC"/>
                <w:b w:val="0"/>
                <w:sz w:val="18"/>
              </w:rPr>
              <w:t>Always Large</w:t>
            </w:r>
          </w:p>
        </w:tc>
        <w:tc>
          <w:tcPr>
            <w:tcW w:type="dxa" w:w="1701"/>
            <w:vAlign w:val="center"/>
          </w:tcPr>
          <w:p>
            <w:pPr>
              <w:spacing w:after="60" w:before="60" w:line="240" w:lineRule="auto"/>
            </w:pPr>
            <w:r>
              <w:rPr>
                <w:rFonts w:eastAsia="Noto Sans CJK SC"/>
                <w:b w:val="0"/>
                <w:sz w:val="18"/>
              </w:rPr>
              <w:t>0.4686</w:t>
            </w:r>
          </w:p>
        </w:tc>
        <w:tc>
          <w:tcPr>
            <w:tcW w:type="dxa" w:w="2665"/>
            <w:vAlign w:val="center"/>
          </w:tcPr>
          <w:p>
            <w:pPr>
              <w:spacing w:after="60" w:before="60" w:line="240" w:lineRule="auto"/>
            </w:pPr>
            <w:r>
              <w:rPr>
                <w:rFonts w:eastAsia="Noto Sans CJK SC"/>
                <w:b w:val="0"/>
                <w:sz w:val="18"/>
              </w:rPr>
              <w:t>4,991.02</w:t>
            </w:r>
          </w:p>
        </w:tc>
        <w:tc>
          <w:tcPr>
            <w:tcW w:type="dxa" w:w="2891"/>
            <w:vAlign w:val="center"/>
          </w:tcPr>
          <w:p>
            <w:pPr>
              <w:spacing w:after="60" w:before="60" w:line="240" w:lineRule="auto"/>
            </w:pPr>
            <w:r>
              <w:rPr>
                <w:rFonts w:eastAsia="Noto Sans CJK SC"/>
                <w:b w:val="0"/>
                <w:sz w:val="18"/>
              </w:rPr>
              <w:t>11.71</w:t>
            </w:r>
          </w:p>
        </w:tc>
      </w:tr>
      <w:tr>
        <w:trPr>
          <w:cantSplit/>
        </w:trPr>
        <w:tc>
          <w:tcPr>
            <w:tcW w:type="dxa" w:w="2268"/>
            <w:vAlign w:val="center"/>
          </w:tcPr>
          <w:p>
            <w:pPr>
              <w:spacing w:after="60" w:before="60" w:line="240" w:lineRule="auto"/>
            </w:pPr>
            <w:r>
              <w:rPr>
                <w:rFonts w:eastAsia="Noto Sans CJK SC"/>
                <w:b w:val="0"/>
                <w:sz w:val="18"/>
              </w:rPr>
              <w:t>查询路由</w:t>
            </w:r>
          </w:p>
        </w:tc>
        <w:tc>
          <w:tcPr>
            <w:tcW w:type="dxa" w:w="1701"/>
            <w:vAlign w:val="center"/>
          </w:tcPr>
          <w:p>
            <w:pPr>
              <w:spacing w:after="60" w:before="60" w:line="240" w:lineRule="auto"/>
            </w:pPr>
            <w:r>
              <w:rPr>
                <w:rFonts w:eastAsia="Noto Sans CJK SC"/>
                <w:b w:val="0"/>
                <w:sz w:val="18"/>
              </w:rPr>
              <w:t>0.4665</w:t>
            </w:r>
          </w:p>
        </w:tc>
        <w:tc>
          <w:tcPr>
            <w:tcW w:type="dxa" w:w="2665"/>
            <w:vAlign w:val="center"/>
          </w:tcPr>
          <w:p>
            <w:pPr>
              <w:spacing w:after="60" w:before="60" w:line="240" w:lineRule="auto"/>
            </w:pPr>
            <w:r>
              <w:rPr>
                <w:rFonts w:eastAsia="Noto Sans CJK SC"/>
                <w:b w:val="0"/>
                <w:sz w:val="18"/>
              </w:rPr>
              <w:t>4,985.33</w:t>
            </w:r>
          </w:p>
        </w:tc>
        <w:tc>
          <w:tcPr>
            <w:tcW w:type="dxa" w:w="2891"/>
            <w:vAlign w:val="center"/>
          </w:tcPr>
          <w:p>
            <w:pPr>
              <w:spacing w:after="60" w:before="60" w:line="240" w:lineRule="auto"/>
            </w:pPr>
            <w:r>
              <w:rPr>
                <w:rFonts w:eastAsia="Noto Sans CJK SC"/>
                <w:b w:val="0"/>
                <w:sz w:val="18"/>
              </w:rPr>
              <w:t>10.19</w:t>
            </w:r>
          </w:p>
        </w:tc>
      </w:tr>
      <w:tr>
        <w:trPr>
          <w:cantSplit/>
        </w:trPr>
        <w:tc>
          <w:tcPr>
            <w:tcW w:type="dxa" w:w="2268"/>
            <w:vAlign w:val="center"/>
          </w:tcPr>
          <w:p>
            <w:pPr>
              <w:spacing w:after="60" w:before="60" w:line="240" w:lineRule="auto"/>
            </w:pPr>
            <w:r>
              <w:rPr>
                <w:rFonts w:eastAsia="Noto Sans CJK SC"/>
                <w:b w:val="0"/>
                <w:sz w:val="18"/>
              </w:rPr>
              <w:t>类型先验</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未独立汇总</w:t>
            </w:r>
          </w:p>
        </w:tc>
        <w:tc>
          <w:tcPr>
            <w:tcW w:type="dxa" w:w="2891"/>
            <w:vAlign w:val="center"/>
          </w:tcPr>
          <w:p>
            <w:pPr>
              <w:spacing w:after="60" w:before="60" w:line="240" w:lineRule="auto"/>
            </w:pPr>
            <w:r>
              <w:rPr>
                <w:rFonts w:eastAsia="Noto Sans CJK SC"/>
                <w:b w:val="0"/>
                <w:sz w:val="18"/>
              </w:rPr>
              <w:t>未独立汇总</w:t>
            </w:r>
          </w:p>
        </w:tc>
      </w:tr>
      <w:tr>
        <w:trPr>
          <w:cantSplit/>
        </w:trPr>
        <w:tc>
          <w:tcPr>
            <w:tcW w:type="dxa" w:w="2268"/>
            <w:vAlign w:val="center"/>
          </w:tcPr>
          <w:p>
            <w:pPr>
              <w:spacing w:after="60" w:before="60" w:line="240" w:lineRule="auto"/>
            </w:pPr>
            <w:r>
              <w:rPr>
                <w:rFonts w:eastAsia="Noto Sans CJK SC"/>
                <w:b w:val="0"/>
                <w:sz w:val="18"/>
              </w:rPr>
              <w:t>冻结节点路由</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4,856.43</w:t>
            </w:r>
          </w:p>
        </w:tc>
        <w:tc>
          <w:tcPr>
            <w:tcW w:type="dxa" w:w="2891"/>
            <w:vAlign w:val="center"/>
          </w:tcPr>
          <w:p>
            <w:pPr>
              <w:spacing w:after="60" w:before="60" w:line="240" w:lineRule="auto"/>
            </w:pPr>
            <w:r>
              <w:rPr>
                <w:rFonts w:eastAsia="Noto Sans CJK SC"/>
                <w:b w:val="0"/>
                <w:sz w:val="18"/>
              </w:rPr>
              <w:t>7.79</w:t>
            </w:r>
          </w:p>
        </w:tc>
      </w:tr>
      <w:tr>
        <w:trPr>
          <w:cantSplit/>
        </w:trPr>
        <w:tc>
          <w:tcPr>
            <w:tcW w:type="dxa" w:w="2268"/>
            <w:vAlign w:val="center"/>
          </w:tcPr>
          <w:p>
            <w:pPr>
              <w:spacing w:after="60" w:before="60" w:line="240" w:lineRule="auto"/>
            </w:pPr>
            <w:r>
              <w:rPr>
                <w:rFonts w:eastAsia="Noto Sans CJK SC"/>
                <w:b w:val="0"/>
                <w:sz w:val="18"/>
              </w:rPr>
              <w:t>新版矩阵逐节点 Oracle</w:t>
            </w:r>
          </w:p>
        </w:tc>
        <w:tc>
          <w:tcPr>
            <w:tcW w:type="dxa" w:w="1701"/>
            <w:vAlign w:val="center"/>
          </w:tcPr>
          <w:p>
            <w:pPr>
              <w:spacing w:after="60" w:before="60" w:line="240" w:lineRule="auto"/>
            </w:pPr>
            <w:r>
              <w:rPr>
                <w:rFonts w:eastAsia="Noto Sans CJK SC"/>
                <w:b w:val="0"/>
                <w:sz w:val="18"/>
              </w:rPr>
              <w:t>0.6065</w:t>
            </w:r>
          </w:p>
        </w:tc>
        <w:tc>
          <w:tcPr>
            <w:tcW w:type="dxa" w:w="2665"/>
            <w:vAlign w:val="center"/>
          </w:tcPr>
          <w:p>
            <w:pPr>
              <w:spacing w:after="60" w:before="60" w:line="240" w:lineRule="auto"/>
            </w:pPr>
            <w:r>
              <w:rPr>
                <w:rFonts w:eastAsia="Noto Sans CJK SC"/>
                <w:b w:val="0"/>
                <w:sz w:val="18"/>
              </w:rPr>
              <w:t>不作部署比较</w:t>
            </w:r>
          </w:p>
        </w:tc>
        <w:tc>
          <w:tcPr>
            <w:tcW w:type="dxa" w:w="2891"/>
            <w:vAlign w:val="center"/>
          </w:tcPr>
          <w:p>
            <w:pPr>
              <w:spacing w:after="60" w:before="60" w:line="240" w:lineRule="auto"/>
            </w:pPr>
            <w:r>
              <w:rPr>
                <w:rFonts w:eastAsia="Noto Sans CJK SC"/>
                <w:b w:val="0"/>
                <w:sz w:val="18"/>
              </w:rPr>
              <w:t>不作部署比较</w:t>
            </w:r>
          </w:p>
        </w:tc>
      </w:tr>
    </w:tbl>
    <w:p>
      <w:pPr>
        <w:pStyle w:val="BodyText"/>
      </w:pPr>
      <w:r>
        <w:t xml:space="preserve">节点路由相对查询路由提高 6.90 个百分点，并减少记录中的 token 与服务时间。以 Always Large 为参考，其条件化节点 GAP Recovery 为 (0.5355−0.4686)/(0.6065−0.4686)，约 48.5%，即接近一半。这里的</w:t>
      </w:r>
      <w:r>
        <w:t xml:space="preserve">“</w:t>
      </w:r>
      <w:r>
        <w:t xml:space="preserve">接近一半</w:t>
      </w:r>
      <w:r>
        <w:t xml:space="preserve">”</w:t>
      </w:r>
      <w:r>
        <w:t xml:space="preserve">是差距恢复比例，不是任务准确率。</w:t>
      </w:r>
    </w:p>
    <w:p>
      <w:pPr>
        <w:pStyle w:val="BodyText"/>
      </w:pPr>
      <w:r>
        <w:t xml:space="preserve">类型先验与节点路由的均值相同，说明主要收益来自阶段粒度，而非问题表示的额外学习能力。上一版矩阵复核的任务聚类区间表明，节点路由相对查询路由差异为正，而相对类型先验区间包含零。原结果中 0.6045 是旧 Oracle 选择在新评分器下的重评分；本表采用已留档复核的新版逐节点最大值 0.6065，不混用两者计算差距。</w:t>
      </w:r>
    </w:p>
    <w:p>
      <w:pPr>
        <w:pStyle w:val="Heading3"/>
      </w:pPr>
      <w:bookmarkStart w:id="50" w:name="条件互补为何不能直接转化为传播收益"/>
      <w:r>
        <w:t xml:space="preserve">5.2 条件互补为何不能直接转化为传播收益</w:t>
      </w:r>
      <w:bookmarkEnd w:id="50"/>
    </w:p>
    <w:p>
      <w:pPr>
        <w:pStyle w:val="FirstParagraph"/>
      </w:pPr>
      <w:r>
        <w:t xml:space="preserve">900 任务画像使推理模型消费同模型实际抽取结果，测量传播链能力。任务级五折交叉验证保持同任务节点同折。</w:t>
      </w:r>
    </w:p>
    <w:p>
      <w:pPr>
        <w:pStyle w:val="BodyText"/>
        <w:keepNext/>
        <w:spacing w:before="160"/>
      </w:pPr>
      <w:r>
        <w:t xml:space="preserve">表 5-3 传播画像中的预测与路由结果</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指标</w:t>
            </w:r>
          </w:p>
        </w:tc>
        <w:tc>
          <w:tcPr>
            <w:tcW w:type="dxa" w:w="1701"/>
            <w:vAlign w:val="center"/>
            <w:shd w:fill="E8EDF2"/>
          </w:tcPr>
          <w:p>
            <w:pPr>
              <w:spacing w:after="60" w:before="60" w:line="240" w:lineRule="auto"/>
            </w:pPr>
            <w:r>
              <w:rPr>
                <w:rFonts w:eastAsia="Noto Sans CJK SC"/>
                <w:b/>
                <w:sz w:val="18"/>
              </w:rPr>
              <w:t>medium</w:t>
            </w:r>
          </w:p>
        </w:tc>
        <w:tc>
          <w:tcPr>
            <w:tcW w:type="dxa" w:w="2665"/>
            <w:vAlign w:val="center"/>
            <w:shd w:fill="E8EDF2"/>
          </w:tcPr>
          <w:p>
            <w:pPr>
              <w:spacing w:after="60" w:before="60" w:line="240" w:lineRule="auto"/>
            </w:pPr>
            <w:r>
              <w:rPr>
                <w:rFonts w:eastAsia="Noto Sans CJK SC"/>
                <w:b/>
                <w:sz w:val="18"/>
              </w:rPr>
              <w:t>large</w:t>
            </w:r>
          </w:p>
        </w:tc>
        <w:tc>
          <w:tcPr>
            <w:tcW w:type="dxa" w:w="2891"/>
            <w:vAlign w:val="center"/>
            <w:shd w:fill="E8EDF2"/>
          </w:tcPr>
          <w:p>
            <w:pPr>
              <w:spacing w:after="60" w:before="60" w:line="240" w:lineRule="auto"/>
            </w:pPr>
            <w:r>
              <w:rPr>
                <w:rFonts w:eastAsia="Noto Sans CJK SC"/>
                <w:b/>
                <w:sz w:val="18"/>
              </w:rPr>
              <w:t>coder</w:t>
            </w:r>
          </w:p>
        </w:tc>
      </w:tr>
      <w:tr>
        <w:trPr>
          <w:cantSplit/>
        </w:trPr>
        <w:tc>
          <w:tcPr>
            <w:tcW w:type="dxa" w:w="2268"/>
            <w:vAlign w:val="center"/>
          </w:tcPr>
          <w:p>
            <w:pPr>
              <w:spacing w:after="60" w:before="60" w:line="240" w:lineRule="auto"/>
            </w:pPr>
            <w:r>
              <w:rPr>
                <w:rFonts w:eastAsia="Noto Sans CJK SC"/>
                <w:b w:val="0"/>
                <w:sz w:val="18"/>
              </w:rPr>
              <w:t>单模型成功预测 ROC-AUC</w:t>
            </w:r>
          </w:p>
        </w:tc>
        <w:tc>
          <w:tcPr>
            <w:tcW w:type="dxa" w:w="1701"/>
            <w:vAlign w:val="center"/>
          </w:tcPr>
          <w:p>
            <w:pPr>
              <w:spacing w:after="60" w:before="60" w:line="240" w:lineRule="auto"/>
            </w:pPr>
            <w:r>
              <w:rPr>
                <w:rFonts w:eastAsia="Noto Sans CJK SC"/>
                <w:b w:val="0"/>
                <w:sz w:val="18"/>
              </w:rPr>
              <w:t>0.7511</w:t>
            </w:r>
          </w:p>
        </w:tc>
        <w:tc>
          <w:tcPr>
            <w:tcW w:type="dxa" w:w="2665"/>
            <w:vAlign w:val="center"/>
          </w:tcPr>
          <w:p>
            <w:pPr>
              <w:spacing w:after="60" w:before="60" w:line="240" w:lineRule="auto"/>
            </w:pPr>
            <w:r>
              <w:rPr>
                <w:rFonts w:eastAsia="Noto Sans CJK SC"/>
                <w:b w:val="0"/>
                <w:sz w:val="18"/>
              </w:rPr>
              <w:t>0.7880</w:t>
            </w:r>
          </w:p>
        </w:tc>
        <w:tc>
          <w:tcPr>
            <w:tcW w:type="dxa" w:w="2891"/>
            <w:vAlign w:val="center"/>
          </w:tcPr>
          <w:p>
            <w:pPr>
              <w:spacing w:after="60" w:before="60" w:line="240" w:lineRule="auto"/>
            </w:pPr>
            <w:r>
              <w:rPr>
                <w:rFonts w:eastAsia="Noto Sans CJK SC"/>
                <w:b w:val="0"/>
                <w:sz w:val="18"/>
              </w:rPr>
              <w:t>0.8391</w:t>
            </w:r>
          </w:p>
        </w:tc>
      </w:tr>
    </w:tbl>
    <w:tbl>
      <w:tblPr>
        <w:tblStyle w:val="TableGrid"/>
        <w:tblW w:type="dxa" w:w="9524"/>
        <w:tblLayout w:type="fixed"/>
        <w:tblLook w:firstColumn="1" w:firstRow="1" w:lastColumn="0" w:lastRow="0" w:noHBand="0" w:noVBand="1" w:val="04A0"/>
      </w:tblPr>
      <w:tblGrid>
        <w:gridCol w:w="4762"/>
        <w:gridCol w:w="4762"/>
      </w:tblGrid>
      <w:tr>
        <w:trPr>
          <w:cantSplit/>
          <w:tblHeader/>
        </w:trPr>
        <w:tc>
          <w:tcPr>
            <w:tcW w:type="dxa" w:w="4762"/>
            <w:vAlign w:val="center"/>
            <w:shd w:fill="E8EDF2"/>
          </w:tcPr>
          <w:p>
            <w:pPr>
              <w:spacing w:after="60" w:before="60" w:line="240" w:lineRule="auto"/>
            </w:pPr>
            <w:r>
              <w:rPr>
                <w:rFonts w:eastAsia="Noto Sans CJK SC"/>
                <w:b/>
                <w:sz w:val="18"/>
              </w:rPr>
              <w:t>传播路由策略</w:t>
            </w:r>
          </w:p>
        </w:tc>
        <w:tc>
          <w:tcPr>
            <w:tcW w:type="dxa" w:w="4762"/>
            <w:vAlign w:val="center"/>
            <w:shd w:fill="E8EDF2"/>
          </w:tcPr>
          <w:p>
            <w:pPr>
              <w:spacing w:after="60" w:before="60" w:line="240" w:lineRule="auto"/>
            </w:pPr>
            <w:r>
              <w:rPr>
                <w:rFonts w:eastAsia="Noto Sans CJK SC"/>
                <w:b/>
                <w:sz w:val="18"/>
              </w:rPr>
              <w:t>最终质量</w:t>
            </w:r>
          </w:p>
        </w:tc>
      </w:tr>
      <w:tr>
        <w:trPr>
          <w:cantSplit/>
        </w:trPr>
        <w:tc>
          <w:tcPr>
            <w:tcW w:type="dxa" w:w="4762"/>
            <w:vAlign w:val="center"/>
          </w:tcPr>
          <w:p>
            <w:pPr>
              <w:spacing w:after="60" w:before="60" w:line="240" w:lineRule="auto"/>
            </w:pPr>
            <w:r>
              <w:rPr>
                <w:rFonts w:eastAsia="Noto Sans CJK SC"/>
                <w:b w:val="0"/>
                <w:sz w:val="18"/>
              </w:rPr>
              <w:t>最佳固定模型／类型先验</w:t>
            </w:r>
          </w:p>
        </w:tc>
        <w:tc>
          <w:tcPr>
            <w:tcW w:type="dxa" w:w="4762"/>
            <w:vAlign w:val="center"/>
          </w:tcPr>
          <w:p>
            <w:pPr>
              <w:spacing w:after="60" w:before="60" w:line="240" w:lineRule="auto"/>
            </w:pPr>
            <w:r>
              <w:rPr>
                <w:rFonts w:eastAsia="Noto Sans CJK SC"/>
                <w:b w:val="0"/>
                <w:sz w:val="18"/>
              </w:rPr>
              <w:t>0.1800</w:t>
            </w:r>
          </w:p>
        </w:tc>
      </w:tr>
      <w:tr>
        <w:trPr>
          <w:cantSplit/>
        </w:trPr>
        <w:tc>
          <w:tcPr>
            <w:tcW w:type="dxa" w:w="4762"/>
            <w:vAlign w:val="center"/>
          </w:tcPr>
          <w:p>
            <w:pPr>
              <w:spacing w:after="60" w:before="60" w:line="240" w:lineRule="auto"/>
            </w:pPr>
            <w:r>
              <w:rPr>
                <w:rFonts w:eastAsia="Noto Sans CJK SC"/>
                <w:b w:val="0"/>
                <w:sz w:val="18"/>
              </w:rPr>
              <w:t>查询路由</w:t>
            </w:r>
          </w:p>
        </w:tc>
        <w:tc>
          <w:tcPr>
            <w:tcW w:type="dxa" w:w="4762"/>
            <w:vAlign w:val="center"/>
          </w:tcPr>
          <w:p>
            <w:pPr>
              <w:spacing w:after="60" w:before="60" w:line="240" w:lineRule="auto"/>
            </w:pPr>
            <w:r>
              <w:rPr>
                <w:rFonts w:eastAsia="Noto Sans CJK SC"/>
                <w:b w:val="0"/>
                <w:sz w:val="18"/>
              </w:rPr>
              <w:t>0.1778</w:t>
            </w:r>
          </w:p>
        </w:tc>
      </w:tr>
      <w:tr>
        <w:trPr>
          <w:cantSplit/>
        </w:trPr>
        <w:tc>
          <w:tcPr>
            <w:tcW w:type="dxa" w:w="4762"/>
            <w:vAlign w:val="center"/>
          </w:tcPr>
          <w:p>
            <w:pPr>
              <w:spacing w:after="60" w:before="60" w:line="240" w:lineRule="auto"/>
            </w:pPr>
            <w:r>
              <w:rPr>
                <w:rFonts w:eastAsia="Noto Sans CJK SC"/>
                <w:b w:val="0"/>
                <w:sz w:val="18"/>
              </w:rPr>
              <w:t>能力画像路由</w:t>
            </w:r>
          </w:p>
        </w:tc>
        <w:tc>
          <w:tcPr>
            <w:tcW w:type="dxa" w:w="4762"/>
            <w:vAlign w:val="center"/>
          </w:tcPr>
          <w:p>
            <w:pPr>
              <w:spacing w:after="60" w:before="60" w:line="240" w:lineRule="auto"/>
            </w:pPr>
            <w:r>
              <w:rPr>
                <w:rFonts w:eastAsia="Noto Sans CJK SC"/>
                <w:b w:val="0"/>
                <w:sz w:val="18"/>
              </w:rPr>
              <w:t>0.1789</w:t>
            </w:r>
          </w:p>
        </w:tc>
      </w:tr>
      <w:tr>
        <w:trPr>
          <w:cantSplit/>
        </w:trPr>
        <w:tc>
          <w:tcPr>
            <w:tcW w:type="dxa" w:w="4762"/>
            <w:vAlign w:val="center"/>
          </w:tcPr>
          <w:p>
            <w:pPr>
              <w:spacing w:after="60" w:before="60" w:line="240" w:lineRule="auto"/>
            </w:pPr>
            <w:r>
              <w:rPr>
                <w:rFonts w:eastAsia="Noto Sans CJK SC"/>
                <w:b w:val="0"/>
                <w:sz w:val="18"/>
              </w:rPr>
              <w:t>同模型链 Oracle</w:t>
            </w:r>
          </w:p>
        </w:tc>
        <w:tc>
          <w:tcPr>
            <w:tcW w:type="dxa" w:w="4762"/>
            <w:vAlign w:val="center"/>
          </w:tcPr>
          <w:p>
            <w:pPr>
              <w:spacing w:after="60" w:before="60" w:line="240" w:lineRule="auto"/>
            </w:pPr>
            <w:r>
              <w:rPr>
                <w:rFonts w:eastAsia="Noto Sans CJK SC"/>
                <w:b w:val="0"/>
                <w:sz w:val="18"/>
              </w:rPr>
              <w:t>0.2300</w:t>
            </w:r>
          </w:p>
        </w:tc>
      </w:tr>
    </w:tbl>
    <w:p>
      <w:pPr>
        <w:pStyle w:val="BodyText"/>
      </w:pPr>
      <w:r>
        <w:t xml:space="preserve">单模型成功存在可预测信号，但能力画像路由没有超过类型先验，差异区间 [−0.0111,0.0089] 包含零。900 个任务中，693 个三模型链均错、50 个均对、157 个存在模型间结果差异。大量共同失败和共同成功会使整体最优模型命中率受并列情况抬高；判断可路由性应关注模型表现不同的任务及最终质量差异。</w:t>
      </w:r>
    </w:p>
    <w:p>
      <w:pPr>
        <w:pStyle w:val="BodyText"/>
      </w:pPr>
      <w:r>
        <w:t xml:space="preserve">标准事实推理基准中的最佳固定质量为 0.31、逐任务推理 Oracle 为 0.41，存在 10 个百分点的条件空间。传播画像中最佳同模型链为 0.18、Oracle 为 0.23，只保留 5 个百分点的整链选择空间。但这两组数据的任务集和估计对象不同，不能把差值解释为严格配对的</w:t>
      </w:r>
      <w:r>
        <w:t xml:space="preserve">“</w:t>
      </w:r>
      <w:r>
        <w:t xml:space="preserve">抽取噪声损失</w:t>
      </w:r>
      <w:r>
        <w:t xml:space="preserve">”</w:t>
      </w:r>
      <w:r>
        <w:t xml:space="preserve">。零调用审计（</w:t>
      </w:r>
      <w:r>
        <w:rPr>
          <w:rStyle w:val="VerbatimChar"/>
        </w:rPr>
        <w:t xml:space="preserve">REASONER_ROW_ORACLE_AUDIT.json</w:t>
      </w:r>
      <w:r>
        <w:t xml:space="preserve">，冻结评分器逐任务重算）给出各面板的传播 headroom：900 题开发集 5.00pp、Conf-200 4.50pp、Conf-500 5.40pp、合并 1,600 题 5.06pp；共同失败占比 77.0%／76.5%／76.2%／76.7%。本文统一引用上述审计值；此前口径外的</w:t>
      </w:r>
      <w:r>
        <w:t xml:space="preserve">“</w:t>
      </w:r>
      <w:r>
        <w:t xml:space="preserve">传播后 4.1pp</w:t>
      </w:r>
      <w:r>
        <w:t xml:space="preserve">”</w:t>
      </w:r>
      <w:r>
        <w:t xml:space="preserve">说法查无冻结来源，作废。下一节通过固定推理者、更换上游来源提供更直接的机制证据。</w:t>
      </w:r>
    </w:p>
    <w:p>
      <w:pPr>
        <w:pStyle w:val="BodyText"/>
      </w:pPr>
      <w:r>
        <w:t xml:space="preserve">由此，条件能力与传播能力必须分开估计；前者揭示理想输入下的能力，后者反映整个输入生成过程与下游执行的联合作用。</w:t>
      </w:r>
    </w:p>
    <w:p>
      <w:pPr>
        <w:pStyle w:val="Heading3"/>
      </w:pPr>
      <w:bookmarkStart w:id="51" w:name="跨模型组合能否释放阶段互补"/>
      <w:r>
        <w:t xml:space="preserve">5.3 跨模型组合能否释放阶段互补</w:t>
      </w:r>
      <w:bookmarkEnd w:id="51"/>
    </w:p>
    <w:p>
      <w:pPr>
        <w:pStyle w:val="FirstParagraph"/>
      </w:pPr>
      <w:r>
        <w:t xml:space="preserve">在能力画像的 200 任务子集上，实际执行三个抽取模型与三个推理模型的九种组合，推理者消费对应抽取者输出。该子集用于开发机制分析，不是 Conf-200 确认集。</w:t>
      </w:r>
    </w:p>
    <w:p>
      <w:pPr>
        <w:pStyle w:val="BodyText"/>
        <w:keepNext/>
        <w:spacing w:before="160"/>
      </w:pPr>
      <w:r>
        <w:t xml:space="preserve">表 5-4 跨模型传播矩阵</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抽取模型／推理模型</w:t>
            </w:r>
          </w:p>
        </w:tc>
        <w:tc>
          <w:tcPr>
            <w:tcW w:type="dxa" w:w="1701"/>
            <w:vAlign w:val="center"/>
            <w:shd w:fill="E8EDF2"/>
          </w:tcPr>
          <w:p>
            <w:pPr>
              <w:spacing w:after="60" w:before="60" w:line="240" w:lineRule="auto"/>
            </w:pPr>
            <w:r>
              <w:rPr>
                <w:rFonts w:eastAsia="Noto Sans CJK SC"/>
                <w:b/>
                <w:sz w:val="18"/>
              </w:rPr>
              <w:t>medium</w:t>
            </w:r>
          </w:p>
        </w:tc>
        <w:tc>
          <w:tcPr>
            <w:tcW w:type="dxa" w:w="2665"/>
            <w:vAlign w:val="center"/>
            <w:shd w:fill="E8EDF2"/>
          </w:tcPr>
          <w:p>
            <w:pPr>
              <w:spacing w:after="60" w:before="60" w:line="240" w:lineRule="auto"/>
            </w:pPr>
            <w:r>
              <w:rPr>
                <w:rFonts w:eastAsia="Noto Sans CJK SC"/>
                <w:b/>
                <w:sz w:val="18"/>
              </w:rPr>
              <w:t>large</w:t>
            </w:r>
          </w:p>
        </w:tc>
        <w:tc>
          <w:tcPr>
            <w:tcW w:type="dxa" w:w="2891"/>
            <w:vAlign w:val="center"/>
            <w:shd w:fill="E8EDF2"/>
          </w:tcPr>
          <w:p>
            <w:pPr>
              <w:spacing w:after="60" w:before="60" w:line="240" w:lineRule="auto"/>
            </w:pPr>
            <w:r>
              <w:rPr>
                <w:rFonts w:eastAsia="Noto Sans CJK SC"/>
                <w:b/>
                <w:sz w:val="18"/>
              </w:rPr>
              <w:t>coder</w:t>
            </w:r>
          </w:p>
        </w:tc>
      </w:tr>
      <w:tr>
        <w:trPr>
          <w:cantSplit/>
        </w:trPr>
        <w:tc>
          <w:tcPr>
            <w:tcW w:type="dxa" w:w="2268"/>
            <w:vAlign w:val="center"/>
          </w:tcPr>
          <w:p>
            <w:pPr>
              <w:spacing w:after="60" w:before="60" w:line="240" w:lineRule="auto"/>
            </w:pPr>
            <w:r>
              <w:rPr>
                <w:rFonts w:eastAsia="Noto Sans CJK SC"/>
                <w:b w:val="0"/>
                <w:sz w:val="18"/>
              </w:rPr>
              <w:t>medium</w:t>
            </w:r>
          </w:p>
        </w:tc>
        <w:tc>
          <w:tcPr>
            <w:tcW w:type="dxa" w:w="1701"/>
            <w:vAlign w:val="center"/>
          </w:tcPr>
          <w:p>
            <w:pPr>
              <w:spacing w:after="60" w:before="60" w:line="240" w:lineRule="auto"/>
            </w:pPr>
            <w:r>
              <w:rPr>
                <w:rFonts w:eastAsia="Noto Sans CJK SC"/>
                <w:b w:val="0"/>
                <w:sz w:val="18"/>
              </w:rPr>
              <w:t>10.0%</w:t>
            </w:r>
          </w:p>
        </w:tc>
        <w:tc>
          <w:tcPr>
            <w:tcW w:type="dxa" w:w="2665"/>
            <w:vAlign w:val="center"/>
          </w:tcPr>
          <w:p>
            <w:pPr>
              <w:spacing w:after="60" w:before="60" w:line="240" w:lineRule="auto"/>
            </w:pPr>
            <w:r>
              <w:rPr>
                <w:rFonts w:eastAsia="Noto Sans CJK SC"/>
                <w:b w:val="0"/>
                <w:sz w:val="18"/>
              </w:rPr>
              <w:t>9.5%</w:t>
            </w:r>
          </w:p>
        </w:tc>
        <w:tc>
          <w:tcPr>
            <w:tcW w:type="dxa" w:w="2891"/>
            <w:vAlign w:val="center"/>
          </w:tcPr>
          <w:p>
            <w:pPr>
              <w:spacing w:after="60" w:before="60" w:line="240" w:lineRule="auto"/>
            </w:pPr>
            <w:r>
              <w:rPr>
                <w:rFonts w:eastAsia="Noto Sans CJK SC"/>
                <w:b w:val="0"/>
                <w:sz w:val="18"/>
              </w:rPr>
              <w:t>9.5%</w:t>
            </w:r>
          </w:p>
        </w:tc>
      </w:tr>
      <w:tr>
        <w:trPr>
          <w:cantSplit/>
        </w:trPr>
        <w:tc>
          <w:tcPr>
            <w:tcW w:type="dxa" w:w="2268"/>
            <w:vAlign w:val="center"/>
          </w:tcPr>
          <w:p>
            <w:pPr>
              <w:spacing w:after="60" w:before="60" w:line="240" w:lineRule="auto"/>
            </w:pPr>
            <w:r>
              <w:rPr>
                <w:rFonts w:eastAsia="Noto Sans CJK SC"/>
                <w:b w:val="0"/>
                <w:sz w:val="18"/>
              </w:rPr>
              <w:t>large</w:t>
            </w:r>
          </w:p>
        </w:tc>
        <w:tc>
          <w:tcPr>
            <w:tcW w:type="dxa" w:w="1701"/>
            <w:vAlign w:val="center"/>
          </w:tcPr>
          <w:p>
            <w:pPr>
              <w:spacing w:after="60" w:before="60" w:line="240" w:lineRule="auto"/>
            </w:pPr>
            <w:r>
              <w:rPr>
                <w:rFonts w:eastAsia="Noto Sans CJK SC"/>
                <w:b w:val="0"/>
                <w:sz w:val="18"/>
              </w:rPr>
              <w:t>20.0%</w:t>
            </w:r>
          </w:p>
        </w:tc>
        <w:tc>
          <w:tcPr>
            <w:tcW w:type="dxa" w:w="2665"/>
            <w:vAlign w:val="center"/>
          </w:tcPr>
          <w:p>
            <w:pPr>
              <w:spacing w:after="60" w:before="60" w:line="240" w:lineRule="auto"/>
            </w:pPr>
            <w:r>
              <w:rPr>
                <w:rFonts w:eastAsia="Noto Sans CJK SC"/>
                <w:b w:val="0"/>
                <w:sz w:val="18"/>
              </w:rPr>
              <w:t>18.0%</w:t>
            </w:r>
          </w:p>
        </w:tc>
        <w:tc>
          <w:tcPr>
            <w:tcW w:type="dxa" w:w="2891"/>
            <w:vAlign w:val="center"/>
          </w:tcPr>
          <w:p>
            <w:pPr>
              <w:spacing w:after="60" w:before="60" w:line="240" w:lineRule="auto"/>
            </w:pPr>
            <w:r>
              <w:rPr>
                <w:rFonts w:eastAsia="Noto Sans CJK SC"/>
                <w:b w:val="0"/>
                <w:sz w:val="18"/>
              </w:rPr>
              <w:t>20.5%</w:t>
            </w:r>
          </w:p>
        </w:tc>
      </w:tr>
      <w:tr>
        <w:trPr>
          <w:cantSplit/>
        </w:trPr>
        <w:tc>
          <w:tcPr>
            <w:tcW w:type="dxa" w:w="2268"/>
            <w:vAlign w:val="center"/>
          </w:tcPr>
          <w:p>
            <w:pPr>
              <w:spacing w:after="60" w:before="60" w:line="240" w:lineRule="auto"/>
            </w:pPr>
            <w:r>
              <w:rPr>
                <w:rFonts w:eastAsia="Noto Sans CJK SC"/>
                <w:b w:val="0"/>
                <w:sz w:val="18"/>
              </w:rPr>
              <w:t>coder</w:t>
            </w:r>
          </w:p>
        </w:tc>
        <w:tc>
          <w:tcPr>
            <w:tcW w:type="dxa" w:w="1701"/>
            <w:vAlign w:val="center"/>
          </w:tcPr>
          <w:p>
            <w:pPr>
              <w:spacing w:after="60" w:before="60" w:line="240" w:lineRule="auto"/>
            </w:pPr>
            <w:r>
              <w:rPr>
                <w:rFonts w:eastAsia="Noto Sans CJK SC"/>
                <w:b w:val="0"/>
                <w:sz w:val="18"/>
              </w:rPr>
              <w:t>13.0%</w:t>
            </w:r>
          </w:p>
        </w:tc>
        <w:tc>
          <w:tcPr>
            <w:tcW w:type="dxa" w:w="2665"/>
            <w:vAlign w:val="center"/>
          </w:tcPr>
          <w:p>
            <w:pPr>
              <w:spacing w:after="60" w:before="60" w:line="240" w:lineRule="auto"/>
            </w:pPr>
            <w:r>
              <w:rPr>
                <w:rFonts w:eastAsia="Noto Sans CJK SC"/>
                <w:b w:val="0"/>
                <w:sz w:val="18"/>
              </w:rPr>
              <w:t>11.5%</w:t>
            </w:r>
          </w:p>
        </w:tc>
        <w:tc>
          <w:tcPr>
            <w:tcW w:type="dxa" w:w="2891"/>
            <w:vAlign w:val="center"/>
          </w:tcPr>
          <w:p>
            <w:pPr>
              <w:spacing w:after="60" w:before="60" w:line="240" w:lineRule="auto"/>
            </w:pPr>
            <w:r>
              <w:rPr>
                <w:rFonts w:eastAsia="Noto Sans CJK SC"/>
                <w:b w:val="0"/>
                <w:sz w:val="18"/>
              </w:rPr>
              <w:t>11.0%</w:t>
            </w:r>
          </w:p>
        </w:tc>
      </w:tr>
    </w:tbl>
    <w:p>
      <w:pPr>
        <w:pStyle w:val="BodyText"/>
      </w:pPr>
      <w:r>
        <w:t xml:space="preserve">保持推理者 medium 不变，将抽取者从 medium 换成 large，质量由 10.0% 提高至 20.0%；保持推理者 coder 不变，对应变化为 11.0% 至 20.5%。固定 large 抽取后，medium 和 coder 的推理结果分别高于 large 推理的 18.0%。这表明同模型链可能因抽取弱项而掩盖下游优势，独立分配阶段模型能够解除这种绑定。</w:t>
      </w:r>
    </w:p>
    <w:p>
      <w:pPr>
        <w:pStyle w:val="BodyText"/>
      </w:pPr>
      <w:r>
        <w:t xml:space="preserve">上述比较支持阶段互补的机制解释，但当前未据该汇总表宣称各点估计差异均达到统计显著。large 抽取均值更好也不意味着它在每个任务上都是最优来源。</w:t>
      </w:r>
    </w:p>
    <w:p>
      <w:pPr>
        <w:pStyle w:val="BodyText"/>
      </w:pPr>
      <w:r>
        <w:t xml:space="preserve">DAG 的价值因此不应被简化为</w:t>
      </w:r>
      <w:r>
        <w:t xml:space="preserve">“</w:t>
      </w:r>
      <w:r>
        <w:t xml:space="preserve">拆分总提高性能</w:t>
      </w:r>
      <w:r>
        <w:t xml:space="preserve">”</w:t>
      </w:r>
      <w:r>
        <w:t xml:space="preserve">。既有整题—DAG 配对分析在 MultiHiertt 上为 +14.0 个百分点，在 TAT-QA 上为 −9.38 个百分点，且输入条件不同、部分历史采集存在标准事实回退。它们支持分解效用依赖任务与接口，不支持通用增益。跨模型矩阵更直接展示了 DAG 作为阶段分配接口的作用。</w:t>
      </w:r>
    </w:p>
    <w:p>
      <w:pPr>
        <w:pStyle w:val="Heading3"/>
      </w:pPr>
      <w:bookmarkStart w:id="52" w:name="距离有限组合空间的精确上界还有多远"/>
      <w:r>
        <w:t xml:space="preserve">5.4 距离有限组合空间的精确上界还有多远</w:t>
      </w:r>
      <w:bookmarkEnd w:id="52"/>
    </w:p>
    <w:p>
      <w:pPr>
        <w:pStyle w:val="FirstParagraph"/>
      </w:pPr>
      <w:r>
        <w:t xml:space="preserve">本节依据最终索引审计，逐任务枚举九种已执行组合，取最终正确性的最大值并平均。所有 200×9 个记录均有对应单元。</w:t>
      </w:r>
    </w:p>
    <w:p>
      <w:pPr>
        <w:pStyle w:val="BodyText"/>
        <w:keepNext/>
        <w:spacing w:before="160"/>
      </w:pPr>
      <w:r>
        <w:t xml:space="preserve">表 5-5 枚举组合空间的上界与差距</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对象</w:t>
            </w:r>
          </w:p>
        </w:tc>
        <w:tc>
          <w:tcPr>
            <w:tcW w:type="dxa" w:w="2835"/>
            <w:vAlign w:val="center"/>
            <w:shd w:fill="E8EDF2"/>
          </w:tcPr>
          <w:p>
            <w:pPr>
              <w:spacing w:after="60" w:before="60" w:line="240" w:lineRule="auto"/>
            </w:pPr>
            <w:r>
              <w:rPr>
                <w:rFonts w:eastAsia="Noto Sans CJK SC"/>
                <w:b/>
                <w:sz w:val="18"/>
              </w:rPr>
              <w:t>质量</w:t>
            </w:r>
          </w:p>
        </w:tc>
        <w:tc>
          <w:tcPr>
            <w:tcW w:type="dxa" w:w="4309"/>
            <w:vAlign w:val="center"/>
            <w:shd w:fill="E8EDF2"/>
          </w:tcPr>
          <w:p>
            <w:pPr>
              <w:spacing w:after="60" w:before="60" w:line="240" w:lineRule="auto"/>
            </w:pPr>
            <w:r>
              <w:rPr>
                <w:rFonts w:eastAsia="Noto Sans CJK SC"/>
                <w:b/>
                <w:sz w:val="18"/>
              </w:rPr>
              <w:t>与精确 Oracle 的距离</w:t>
            </w:r>
          </w:p>
        </w:tc>
      </w:tr>
      <w:tr>
        <w:trPr>
          <w:cantSplit/>
        </w:trPr>
        <w:tc>
          <w:tcPr>
            <w:tcW w:type="dxa" w:w="2381"/>
            <w:vAlign w:val="center"/>
          </w:tcPr>
          <w:p>
            <w:pPr>
              <w:spacing w:after="60" w:before="60" w:line="240" w:lineRule="auto"/>
            </w:pPr>
            <w:r>
              <w:rPr>
                <w:rFonts w:eastAsia="Noto Sans CJK SC"/>
                <w:b w:val="0"/>
                <w:sz w:val="18"/>
              </w:rPr>
              <w:t>Always Large：E_large→R_large</w:t>
            </w:r>
          </w:p>
        </w:tc>
        <w:tc>
          <w:tcPr>
            <w:tcW w:type="dxa" w:w="2835"/>
            <w:vAlign w:val="center"/>
          </w:tcPr>
          <w:p>
            <w:pPr>
              <w:spacing w:after="60" w:before="60" w:line="240" w:lineRule="auto"/>
            </w:pPr>
            <w:r>
              <w:rPr>
                <w:rFonts w:eastAsia="Noto Sans CJK SC"/>
                <w:b w:val="0"/>
                <w:sz w:val="18"/>
              </w:rPr>
              <w:t>18.0%</w:t>
            </w:r>
          </w:p>
        </w:tc>
        <w:tc>
          <w:tcPr>
            <w:tcW w:type="dxa" w:w="4309"/>
            <w:vAlign w:val="center"/>
          </w:tcPr>
          <w:p>
            <w:pPr>
              <w:spacing w:after="60" w:before="60" w:line="240" w:lineRule="auto"/>
            </w:pPr>
            <w:r>
              <w:rPr>
                <w:rFonts w:eastAsia="Noto Sans CJK SC"/>
                <w:b w:val="0"/>
                <w:sz w:val="18"/>
              </w:rPr>
              <w:t>12.5 个百分点</w:t>
            </w:r>
          </w:p>
        </w:tc>
      </w:tr>
      <w:tr>
        <w:trPr>
          <w:cantSplit/>
        </w:trPr>
        <w:tc>
          <w:tcPr>
            <w:tcW w:type="dxa" w:w="2381"/>
            <w:vAlign w:val="center"/>
          </w:tcPr>
          <w:p>
            <w:pPr>
              <w:spacing w:after="60" w:before="60" w:line="240" w:lineRule="auto"/>
            </w:pPr>
            <w:r>
              <w:rPr>
                <w:rFonts w:eastAsia="Noto Sans CJK SC"/>
                <w:b w:val="0"/>
                <w:sz w:val="18"/>
              </w:rPr>
              <w:t>最佳固定组合：E_large→R_coder</w:t>
            </w:r>
          </w:p>
        </w:tc>
        <w:tc>
          <w:tcPr>
            <w:tcW w:type="dxa" w:w="2835"/>
            <w:vAlign w:val="center"/>
          </w:tcPr>
          <w:p>
            <w:pPr>
              <w:spacing w:after="60" w:before="60" w:line="240" w:lineRule="auto"/>
            </w:pPr>
            <w:r>
              <w:rPr>
                <w:rFonts w:eastAsia="Noto Sans CJK SC"/>
                <w:b w:val="0"/>
                <w:sz w:val="18"/>
              </w:rPr>
              <w:t>20.5%</w:t>
            </w:r>
          </w:p>
        </w:tc>
        <w:tc>
          <w:tcPr>
            <w:tcW w:type="dxa" w:w="4309"/>
            <w:vAlign w:val="center"/>
          </w:tcPr>
          <w:p>
            <w:pPr>
              <w:spacing w:after="60" w:before="60" w:line="240" w:lineRule="auto"/>
            </w:pPr>
            <w:r>
              <w:rPr>
                <w:rFonts w:eastAsia="Noto Sans CJK SC"/>
                <w:b w:val="0"/>
                <w:sz w:val="18"/>
              </w:rPr>
              <w:t>10.0 个百分点</w:t>
            </w:r>
          </w:p>
        </w:tc>
      </w:tr>
      <w:tr>
        <w:trPr>
          <w:cantSplit/>
        </w:trPr>
        <w:tc>
          <w:tcPr>
            <w:tcW w:type="dxa" w:w="2381"/>
            <w:vAlign w:val="center"/>
          </w:tcPr>
          <w:p>
            <w:pPr>
              <w:spacing w:after="60" w:before="60" w:line="240" w:lineRule="auto"/>
            </w:pPr>
            <w:r>
              <w:rPr>
                <w:rFonts w:eastAsia="Noto Sans CJK SC"/>
                <w:b w:val="0"/>
                <w:sz w:val="18"/>
              </w:rPr>
              <w:t>枚举 3×3 空间内精确 Oracle</w:t>
            </w:r>
          </w:p>
        </w:tc>
        <w:tc>
          <w:tcPr>
            <w:tcW w:type="dxa" w:w="2835"/>
            <w:vAlign w:val="center"/>
          </w:tcPr>
          <w:p>
            <w:pPr>
              <w:spacing w:after="60" w:before="60" w:line="240" w:lineRule="auto"/>
            </w:pPr>
            <w:r>
              <w:rPr>
                <w:rFonts w:eastAsia="Noto Sans CJK SC"/>
                <w:b w:val="0"/>
                <w:sz w:val="18"/>
              </w:rPr>
              <w:t>30.5%</w:t>
            </w:r>
          </w:p>
        </w:tc>
        <w:tc>
          <w:tcPr>
            <w:tcW w:type="dxa" w:w="4309"/>
            <w:vAlign w:val="center"/>
          </w:tcPr>
          <w:p>
            <w:pPr>
              <w:spacing w:after="60" w:before="60" w:line="240" w:lineRule="auto"/>
            </w:pPr>
            <w:r>
              <w:rPr>
                <w:rFonts w:eastAsia="Noto Sans CJK SC"/>
                <w:b w:val="0"/>
                <w:sz w:val="18"/>
              </w:rPr>
              <w:t>0</w:t>
            </w:r>
          </w:p>
        </w:tc>
      </w:tr>
    </w:tbl>
    <w:p>
      <w:pPr>
        <w:pStyle w:val="BodyText"/>
      </w:pPr>
      <w:r>
        <w:t xml:space="preserve">最佳固定跨模型组合相对 Always Large 增加 2.5 个百分点，恢复对应 12.5 个百分点 Oracle 差距的 20.0%。剩余 10.0 个百分点表示在这九种记录中仍有任务特定机会，不表示当前路由器一定能够预测它们。</w:t>
      </w:r>
    </w:p>
    <w:p>
      <w:pPr>
        <w:pStyle w:val="BodyText"/>
      </w:pPr>
      <w:r>
        <w:t xml:space="preserve">该上界的完整名称是</w:t>
      </w:r>
      <w:r>
        <w:t xml:space="preserve">“</w:t>
      </w:r>
      <w:r>
        <w:t xml:space="preserve">枚举 3×3 模型组合空间内的精确 Oracle</w:t>
      </w:r>
      <w:r>
        <w:t xml:space="preserve">”</w:t>
      </w:r>
      <w:r>
        <w:t xml:space="preserve">（Exact Oracle within the enumerated 3×3 model-composition space）。它不包含任意恢复序列、图结构、提示变体或动态预算分支。有限组合穷举不能被表述为完整 Dynamic DAG 的全局最优解。</w:t>
      </w:r>
    </w:p>
    <w:p>
      <w:pPr>
        <w:pStyle w:val="Heading3"/>
      </w:pPr>
      <w:bookmarkStart w:id="53" w:name="剩余差距能否可靠学习"/>
      <w:r>
        <w:t xml:space="preserve">5.5 剩余差距能否可靠学习</w:t>
      </w:r>
      <w:bookmarkEnd w:id="53"/>
    </w:p>
    <w:p>
      <w:pPr>
        <w:pStyle w:val="FirstParagraph"/>
      </w:pPr>
      <w:r>
        <w:t xml:space="preserve">剩余差距路由以 large 为强默认，使用 900 任务开发数据拟合两阶段选择器，固定阈值 τ=0.5 后分别评价较小 Conf-200 与较大 Conf-500。这里的 Oracle 仅取三条同模型传播链，与上一节九组合 Oracle 不同。</w:t>
      </w:r>
    </w:p>
    <w:p>
      <w:pPr>
        <w:pStyle w:val="BodyText"/>
        <w:keepNext/>
        <w:spacing w:before="160"/>
      </w:pPr>
      <w:r>
        <w:t xml:space="preserve">表 5-6 冻结两阶段路由的确认结果</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指标</w:t>
            </w:r>
          </w:p>
        </w:tc>
        <w:tc>
          <w:tcPr>
            <w:tcW w:type="dxa" w:w="2835"/>
            <w:vAlign w:val="center"/>
            <w:shd w:fill="E8EDF2"/>
          </w:tcPr>
          <w:p>
            <w:pPr>
              <w:spacing w:after="60" w:before="60" w:line="240" w:lineRule="auto"/>
            </w:pPr>
            <w:r>
              <w:rPr>
                <w:rFonts w:eastAsia="Noto Sans CJK SC"/>
                <w:b/>
                <w:sz w:val="18"/>
              </w:rPr>
              <w:t>Conf-200</w:t>
            </w:r>
          </w:p>
        </w:tc>
        <w:tc>
          <w:tcPr>
            <w:tcW w:type="dxa" w:w="4309"/>
            <w:vAlign w:val="center"/>
            <w:shd w:fill="E8EDF2"/>
          </w:tcPr>
          <w:p>
            <w:pPr>
              <w:spacing w:after="60" w:before="60" w:line="240" w:lineRule="auto"/>
            </w:pPr>
            <w:r>
              <w:rPr>
                <w:rFonts w:eastAsia="Noto Sans CJK SC"/>
                <w:b/>
                <w:sz w:val="18"/>
              </w:rPr>
              <w:t>Conf-500</w:t>
            </w:r>
          </w:p>
        </w:tc>
      </w:tr>
      <w:tr>
        <w:trPr>
          <w:cantSplit/>
        </w:trPr>
        <w:tc>
          <w:tcPr>
            <w:tcW w:type="dxa" w:w="2381"/>
            <w:vAlign w:val="center"/>
          </w:tcPr>
          <w:p>
            <w:pPr>
              <w:spacing w:after="60" w:before="60" w:line="240" w:lineRule="auto"/>
            </w:pPr>
            <w:r>
              <w:rPr>
                <w:rFonts w:eastAsia="Noto Sans CJK SC"/>
                <w:b w:val="0"/>
                <w:sz w:val="18"/>
              </w:rPr>
              <w:t>任务数</w:t>
            </w:r>
          </w:p>
        </w:tc>
        <w:tc>
          <w:tcPr>
            <w:tcW w:type="dxa" w:w="2835"/>
            <w:vAlign w:val="center"/>
          </w:tcPr>
          <w:p>
            <w:pPr>
              <w:spacing w:after="60" w:before="60" w:line="240" w:lineRule="auto"/>
            </w:pPr>
            <w:r>
              <w:rPr>
                <w:rFonts w:eastAsia="Noto Sans CJK SC"/>
                <w:b w:val="0"/>
                <w:sz w:val="18"/>
              </w:rPr>
              <w:t>200</w:t>
            </w:r>
          </w:p>
        </w:tc>
        <w:tc>
          <w:tcPr>
            <w:tcW w:type="dxa" w:w="4309"/>
            <w:vAlign w:val="center"/>
          </w:tcPr>
          <w:p>
            <w:pPr>
              <w:spacing w:after="60" w:before="60" w:line="240" w:lineRule="auto"/>
            </w:pPr>
            <w:r>
              <w:rPr>
                <w:rFonts w:eastAsia="Noto Sans CJK SC"/>
                <w:b w:val="0"/>
                <w:sz w:val="18"/>
              </w:rPr>
              <w:t>500</w:t>
            </w:r>
          </w:p>
        </w:tc>
      </w:tr>
      <w:tr>
        <w:trPr>
          <w:cantSplit/>
        </w:trPr>
        <w:tc>
          <w:tcPr>
            <w:tcW w:type="dxa" w:w="2381"/>
            <w:vAlign w:val="center"/>
          </w:tcPr>
          <w:p>
            <w:pPr>
              <w:spacing w:after="60" w:before="60" w:line="240" w:lineRule="auto"/>
            </w:pPr>
            <w:r>
              <w:rPr>
                <w:rFonts w:eastAsia="Noto Sans CJK SC"/>
                <w:b w:val="0"/>
                <w:sz w:val="18"/>
              </w:rPr>
              <w:t>large 默认质量</w:t>
            </w:r>
          </w:p>
        </w:tc>
        <w:tc>
          <w:tcPr>
            <w:tcW w:type="dxa" w:w="2835"/>
            <w:vAlign w:val="center"/>
          </w:tcPr>
          <w:p>
            <w:pPr>
              <w:spacing w:after="60" w:before="60" w:line="240" w:lineRule="auto"/>
            </w:pPr>
            <w:r>
              <w:rPr>
                <w:rFonts w:eastAsia="Noto Sans CJK SC"/>
                <w:b w:val="0"/>
                <w:sz w:val="18"/>
              </w:rPr>
              <w:t>0.1900</w:t>
            </w:r>
          </w:p>
        </w:tc>
        <w:tc>
          <w:tcPr>
            <w:tcW w:type="dxa" w:w="4309"/>
            <w:vAlign w:val="center"/>
          </w:tcPr>
          <w:p>
            <w:pPr>
              <w:spacing w:after="60" w:before="60" w:line="240" w:lineRule="auto"/>
            </w:pPr>
            <w:r>
              <w:rPr>
                <w:rFonts w:eastAsia="Noto Sans CJK SC"/>
                <w:b w:val="0"/>
                <w:sz w:val="18"/>
              </w:rPr>
              <w:t>0.1840</w:t>
            </w:r>
          </w:p>
        </w:tc>
      </w:tr>
      <w:tr>
        <w:trPr>
          <w:cantSplit/>
        </w:trPr>
        <w:tc>
          <w:tcPr>
            <w:tcW w:type="dxa" w:w="2381"/>
            <w:vAlign w:val="center"/>
          </w:tcPr>
          <w:p>
            <w:pPr>
              <w:spacing w:after="60" w:before="60" w:line="240" w:lineRule="auto"/>
            </w:pPr>
            <w:r>
              <w:rPr>
                <w:rFonts w:eastAsia="Noto Sans CJK SC"/>
                <w:b w:val="0"/>
                <w:sz w:val="18"/>
              </w:rPr>
              <w:t>两阶段路由质量</w:t>
            </w:r>
          </w:p>
        </w:tc>
        <w:tc>
          <w:tcPr>
            <w:tcW w:type="dxa" w:w="2835"/>
            <w:vAlign w:val="center"/>
          </w:tcPr>
          <w:p>
            <w:pPr>
              <w:spacing w:after="60" w:before="60" w:line="240" w:lineRule="auto"/>
            </w:pPr>
            <w:r>
              <w:rPr>
                <w:rFonts w:eastAsia="Noto Sans CJK SC"/>
                <w:b w:val="0"/>
                <w:sz w:val="18"/>
              </w:rPr>
              <w:t>0.2000</w:t>
            </w:r>
          </w:p>
        </w:tc>
        <w:tc>
          <w:tcPr>
            <w:tcW w:type="dxa" w:w="4309"/>
            <w:vAlign w:val="center"/>
          </w:tcPr>
          <w:p>
            <w:pPr>
              <w:spacing w:after="60" w:before="60" w:line="240" w:lineRule="auto"/>
            </w:pPr>
            <w:r>
              <w:rPr>
                <w:rFonts w:eastAsia="Noto Sans CJK SC"/>
                <w:b w:val="0"/>
                <w:sz w:val="18"/>
              </w:rPr>
              <w:t>0.1780</w:t>
            </w:r>
          </w:p>
        </w:tc>
      </w:tr>
      <w:tr>
        <w:trPr>
          <w:cantSplit/>
        </w:trPr>
        <w:tc>
          <w:tcPr>
            <w:tcW w:type="dxa" w:w="2381"/>
            <w:vAlign w:val="center"/>
          </w:tcPr>
          <w:p>
            <w:pPr>
              <w:spacing w:after="60" w:before="60" w:line="240" w:lineRule="auto"/>
            </w:pPr>
            <w:r>
              <w:rPr>
                <w:rFonts w:eastAsia="Noto Sans CJK SC"/>
                <w:b w:val="0"/>
                <w:sz w:val="18"/>
              </w:rPr>
              <w:t>同模型链 Oracle</w:t>
            </w:r>
          </w:p>
        </w:tc>
        <w:tc>
          <w:tcPr>
            <w:tcW w:type="dxa" w:w="2835"/>
            <w:vAlign w:val="center"/>
          </w:tcPr>
          <w:p>
            <w:pPr>
              <w:spacing w:after="60" w:before="60" w:line="240" w:lineRule="auto"/>
            </w:pPr>
            <w:r>
              <w:rPr>
                <w:rFonts w:eastAsia="Noto Sans CJK SC"/>
                <w:b w:val="0"/>
                <w:sz w:val="18"/>
              </w:rPr>
              <w:t>0.2350</w:t>
            </w:r>
          </w:p>
        </w:tc>
        <w:tc>
          <w:tcPr>
            <w:tcW w:type="dxa" w:w="4309"/>
            <w:vAlign w:val="center"/>
          </w:tcPr>
          <w:p>
            <w:pPr>
              <w:spacing w:after="60" w:before="60" w:line="240" w:lineRule="auto"/>
            </w:pPr>
            <w:r>
              <w:rPr>
                <w:rFonts w:eastAsia="Noto Sans CJK SC"/>
                <w:b w:val="0"/>
                <w:sz w:val="18"/>
              </w:rPr>
              <w:t>0.2380</w:t>
            </w:r>
          </w:p>
        </w:tc>
      </w:tr>
      <w:tr>
        <w:trPr>
          <w:cantSplit/>
        </w:trPr>
        <w:tc>
          <w:tcPr>
            <w:tcW w:type="dxa" w:w="2381"/>
            <w:vAlign w:val="center"/>
          </w:tcPr>
          <w:p>
            <w:pPr>
              <w:spacing w:after="60" w:before="60" w:line="240" w:lineRule="auto"/>
            </w:pPr>
            <w:r>
              <w:rPr>
                <w:rFonts w:eastAsia="Noto Sans CJK SC"/>
                <w:b w:val="0"/>
                <w:sz w:val="18"/>
              </w:rPr>
              <w:t>质量差异</w:t>
            </w:r>
          </w:p>
        </w:tc>
        <w:tc>
          <w:tcPr>
            <w:tcW w:type="dxa" w:w="2835"/>
            <w:vAlign w:val="center"/>
          </w:tcPr>
          <w:p>
            <w:pPr>
              <w:spacing w:after="60" w:before="60" w:line="240" w:lineRule="auto"/>
            </w:pPr>
            <w:r>
              <w:rPr>
                <w:rFonts w:eastAsia="Noto Sans CJK SC"/>
                <w:b w:val="0"/>
                <w:sz w:val="18"/>
              </w:rPr>
              <w:t>+1.00 个百分点</w:t>
            </w:r>
          </w:p>
        </w:tc>
        <w:tc>
          <w:tcPr>
            <w:tcW w:type="dxa" w:w="4309"/>
            <w:vAlign w:val="center"/>
          </w:tcPr>
          <w:p>
            <w:pPr>
              <w:spacing w:after="60" w:before="60" w:line="240" w:lineRule="auto"/>
            </w:pPr>
            <w:r>
              <w:rPr>
                <w:rFonts w:eastAsia="Noto Sans CJK SC"/>
                <w:b w:val="0"/>
                <w:sz w:val="18"/>
              </w:rPr>
              <w:t>−0.60 个百分点</w:t>
            </w:r>
          </w:p>
        </w:tc>
      </w:tr>
      <w:tr>
        <w:trPr>
          <w:cantSplit/>
        </w:trPr>
        <w:tc>
          <w:tcPr>
            <w:tcW w:type="dxa" w:w="2381"/>
            <w:vAlign w:val="center"/>
          </w:tcPr>
          <w:p>
            <w:pPr>
              <w:spacing w:after="60" w:before="60" w:line="240" w:lineRule="auto"/>
            </w:pPr>
            <w:r>
              <w:rPr>
                <w:rFonts w:eastAsia="Noto Sans CJK SC"/>
                <w:b w:val="0"/>
                <w:sz w:val="18"/>
              </w:rPr>
              <w:t>质量差异 95% 区间</w:t>
            </w:r>
          </w:p>
        </w:tc>
        <w:tc>
          <w:tcPr>
            <w:tcW w:type="dxa" w:w="2835"/>
            <w:vAlign w:val="center"/>
          </w:tcPr>
          <w:p>
            <w:pPr>
              <w:spacing w:after="60" w:before="60" w:line="240" w:lineRule="auto"/>
            </w:pPr>
            <w:r>
              <w:rPr>
                <w:rFonts w:eastAsia="Noto Sans CJK SC"/>
                <w:b w:val="0"/>
                <w:sz w:val="18"/>
              </w:rPr>
              <w:t>[0.00,2.50] 个百分点</w:t>
            </w:r>
          </w:p>
        </w:tc>
        <w:tc>
          <w:tcPr>
            <w:tcW w:type="dxa" w:w="4309"/>
            <w:vAlign w:val="center"/>
          </w:tcPr>
          <w:p>
            <w:pPr>
              <w:spacing w:after="60" w:before="60" w:line="240" w:lineRule="auto"/>
            </w:pPr>
            <w:r>
              <w:rPr>
                <w:rFonts w:eastAsia="Noto Sans CJK SC"/>
                <w:b w:val="0"/>
                <w:sz w:val="18"/>
              </w:rPr>
              <w:t>[−1.60,0.20] 个百分点</w:t>
            </w:r>
          </w:p>
        </w:tc>
      </w:tr>
      <w:tr>
        <w:trPr>
          <w:cantSplit/>
        </w:trPr>
        <w:tc>
          <w:tcPr>
            <w:tcW w:type="dxa" w:w="2381"/>
            <w:vAlign w:val="center"/>
          </w:tcPr>
          <w:p>
            <w:pPr>
              <w:spacing w:after="60" w:before="60" w:line="240" w:lineRule="auto"/>
            </w:pPr>
            <w:r>
              <w:rPr>
                <w:rFonts w:eastAsia="Noto Sans CJK SC"/>
                <w:b w:val="0"/>
                <w:sz w:val="18"/>
              </w:rPr>
              <w:t>GAP Recovery</w:t>
            </w:r>
          </w:p>
        </w:tc>
        <w:tc>
          <w:tcPr>
            <w:tcW w:type="dxa" w:w="2835"/>
            <w:vAlign w:val="center"/>
          </w:tcPr>
          <w:p>
            <w:pPr>
              <w:spacing w:after="60" w:before="60" w:line="240" w:lineRule="auto"/>
            </w:pPr>
            <w:r>
              <w:rPr>
                <w:rFonts w:eastAsia="Noto Sans CJK SC"/>
                <w:b w:val="0"/>
                <w:sz w:val="18"/>
              </w:rPr>
              <w:t>+22.22%</w:t>
            </w:r>
          </w:p>
        </w:tc>
        <w:tc>
          <w:tcPr>
            <w:tcW w:type="dxa" w:w="4309"/>
            <w:vAlign w:val="center"/>
          </w:tcPr>
          <w:p>
            <w:pPr>
              <w:spacing w:after="60" w:before="60" w:line="240" w:lineRule="auto"/>
            </w:pPr>
            <w:r>
              <w:rPr>
                <w:rFonts w:eastAsia="Noto Sans CJK SC"/>
                <w:b w:val="0"/>
                <w:sz w:val="18"/>
              </w:rPr>
              <w:t>−11.11%</w:t>
            </w:r>
          </w:p>
        </w:tc>
      </w:tr>
      <w:tr>
        <w:trPr>
          <w:cantSplit/>
        </w:trPr>
        <w:tc>
          <w:tcPr>
            <w:tcW w:type="dxa" w:w="2381"/>
            <w:vAlign w:val="center"/>
          </w:tcPr>
          <w:p>
            <w:pPr>
              <w:spacing w:after="60" w:before="60" w:line="240" w:lineRule="auto"/>
            </w:pPr>
            <w:r>
              <w:rPr>
                <w:rFonts w:eastAsia="Noto Sans CJK SC"/>
                <w:b w:val="0"/>
                <w:sz w:val="18"/>
              </w:rPr>
              <w:t>切换次数</w:t>
            </w:r>
          </w:p>
        </w:tc>
        <w:tc>
          <w:tcPr>
            <w:tcW w:type="dxa" w:w="2835"/>
            <w:vAlign w:val="center"/>
          </w:tcPr>
          <w:p>
            <w:pPr>
              <w:spacing w:after="60" w:before="60" w:line="240" w:lineRule="auto"/>
            </w:pPr>
            <w:r>
              <w:rPr>
                <w:rFonts w:eastAsia="Noto Sans CJK SC"/>
                <w:b w:val="0"/>
                <w:sz w:val="18"/>
              </w:rPr>
              <w:t>4</w:t>
            </w:r>
          </w:p>
        </w:tc>
        <w:tc>
          <w:tcPr>
            <w:tcW w:type="dxa" w:w="4309"/>
            <w:vAlign w:val="center"/>
          </w:tcPr>
          <w:p>
            <w:pPr>
              <w:spacing w:after="60" w:before="60" w:line="240" w:lineRule="auto"/>
            </w:pPr>
            <w:r>
              <w:rPr>
                <w:rFonts w:eastAsia="Noto Sans CJK SC"/>
                <w:b w:val="0"/>
                <w:sz w:val="18"/>
              </w:rPr>
              <w:t>22</w:t>
            </w:r>
          </w:p>
        </w:tc>
      </w:tr>
      <w:tr>
        <w:trPr>
          <w:cantSplit/>
        </w:trPr>
        <w:tc>
          <w:tcPr>
            <w:tcW w:type="dxa" w:w="2381"/>
            <w:vAlign w:val="center"/>
          </w:tcPr>
          <w:p>
            <w:pPr>
              <w:spacing w:after="60" w:before="60" w:line="240" w:lineRule="auto"/>
            </w:pPr>
            <w:r>
              <w:rPr>
                <w:rFonts w:eastAsia="Noto Sans CJK SC"/>
                <w:b w:val="0"/>
                <w:sz w:val="18"/>
              </w:rPr>
              <w:t>Help／Harm</w:t>
            </w:r>
          </w:p>
        </w:tc>
        <w:tc>
          <w:tcPr>
            <w:tcW w:type="dxa" w:w="2835"/>
            <w:vAlign w:val="center"/>
          </w:tcPr>
          <w:p>
            <w:pPr>
              <w:spacing w:after="60" w:before="60" w:line="240" w:lineRule="auto"/>
            </w:pPr>
            <w:r>
              <w:rPr>
                <w:rFonts w:eastAsia="Noto Sans CJK SC"/>
                <w:b w:val="0"/>
                <w:sz w:val="18"/>
              </w:rPr>
              <w:t>2／0</w:t>
            </w:r>
          </w:p>
        </w:tc>
        <w:tc>
          <w:tcPr>
            <w:tcW w:type="dxa" w:w="4309"/>
            <w:vAlign w:val="center"/>
          </w:tcPr>
          <w:p>
            <w:pPr>
              <w:spacing w:after="60" w:before="60" w:line="240" w:lineRule="auto"/>
            </w:pPr>
            <w:r>
              <w:rPr>
                <w:rFonts w:eastAsia="Noto Sans CJK SC"/>
                <w:b w:val="0"/>
                <w:sz w:val="18"/>
              </w:rPr>
              <w:t>1／4</w:t>
            </w:r>
          </w:p>
        </w:tc>
      </w:tr>
      <w:tr>
        <w:trPr>
          <w:cantSplit/>
        </w:trPr>
        <w:tc>
          <w:tcPr>
            <w:tcW w:type="dxa" w:w="2381"/>
            <w:vAlign w:val="center"/>
          </w:tcPr>
          <w:p>
            <w:pPr>
              <w:spacing w:after="60" w:before="60" w:line="240" w:lineRule="auto"/>
            </w:pPr>
            <w:r>
              <w:rPr>
                <w:rFonts w:eastAsia="Noto Sans CJK SC"/>
                <w:b w:val="0"/>
                <w:sz w:val="18"/>
              </w:rPr>
              <w:t>McNemar 精确检验 p</w:t>
            </w:r>
          </w:p>
        </w:tc>
        <w:tc>
          <w:tcPr>
            <w:tcW w:type="dxa" w:w="2835"/>
            <w:vAlign w:val="center"/>
          </w:tcPr>
          <w:p>
            <w:pPr>
              <w:spacing w:after="60" w:before="60" w:line="240" w:lineRule="auto"/>
            </w:pPr>
            <w:r>
              <w:rPr>
                <w:rFonts w:eastAsia="Noto Sans CJK SC"/>
                <w:b w:val="0"/>
                <w:sz w:val="18"/>
              </w:rPr>
              <w:t>0.500</w:t>
            </w:r>
          </w:p>
        </w:tc>
        <w:tc>
          <w:tcPr>
            <w:tcW w:type="dxa" w:w="4309"/>
            <w:vAlign w:val="center"/>
          </w:tcPr>
          <w:p>
            <w:pPr>
              <w:spacing w:after="60" w:before="60" w:line="240" w:lineRule="auto"/>
            </w:pPr>
            <w:r>
              <w:rPr>
                <w:rFonts w:eastAsia="Noto Sans CJK SC"/>
                <w:b w:val="0"/>
                <w:sz w:val="18"/>
              </w:rPr>
              <w:t>0.375</w:t>
            </w:r>
          </w:p>
        </w:tc>
      </w:tr>
    </w:tbl>
    <w:p>
      <w:pPr>
        <w:pStyle w:val="BodyText"/>
      </w:pPr>
      <w:r>
        <w:t xml:space="preserve">较小确认集出现正向信号，但差异不显著；在更大确认集上未复现，点估计转负且同样不显著。因此不能将 +22.22% 作为稳定主结果，也不能反向断言剩余差距完全不可学习。</w:t>
      </w:r>
    </w:p>
    <w:p>
      <w:pPr>
        <w:pStyle w:val="BodyText"/>
      </w:pPr>
      <w:r>
        <w:t xml:space="preserve">在 Conf-200 上，能力画像路由与成对路由分别切换 135 和 137 次，质量为 0.16 和 0.15，低于默认的 0.19；两阶段策略只切换 4 次。该比较提示无充分依据的覆盖会引入损害，但不同选择器也改变评分方式，不能把差别全部归因于切换次数。</w:t>
      </w:r>
    </w:p>
    <w:p>
      <w:pPr>
        <w:pStyle w:val="BodyText"/>
      </w:pPr>
      <w:r>
        <w:t xml:space="preserve">Conf-500 的机制分析在 34 个仅 large 占优任务与 27 个替代者占优任务上，触发分数的诊断 AUC 为 0.458；medium 偏好分数仍有一定信号，但不保证触发和目标选择同时正确。这说明单模型成功可预测、相对优劣可排序以及最终路由有净收益，是不同层次的问题。</w:t>
      </w:r>
    </w:p>
    <w:p>
      <w:pPr>
        <w:pStyle w:val="Heading3"/>
      </w:pPr>
      <w:bookmarkStart w:id="54" w:name="低覆盖率选择为何相对安全"/>
      <w:r>
        <w:t xml:space="preserve">5.6 低覆盖率选择为何相对安全</w:t>
      </w:r>
      <w:bookmarkEnd w:id="54"/>
    </w:p>
    <w:p>
      <w:pPr>
        <w:pStyle w:val="FirstParagraph"/>
      </w:pPr>
      <w:r>
        <w:t xml:space="preserve">为分析覆盖默认策略的代价，既有研究将 900 开发任务、200 和 500 个已分析确认任务合并为 1,600 题开发语料，进行任务级五折预测与事后风险—覆盖率分析。运行时特征来自 large 的实际抽取和推理输出；这一评价不能再称为独立确认，也不等同于零执行成本的到达时路由。</w:t>
      </w:r>
    </w:p>
    <w:p>
      <w:pPr>
        <w:pStyle w:val="BodyText"/>
        <w:keepNext/>
        <w:spacing w:before="160"/>
      </w:pPr>
      <w:r>
        <w:t xml:space="preserve">表 5-7 开发语料上的事后风险—覆盖率曲线</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覆盖率</w:t>
            </w:r>
          </w:p>
        </w:tc>
        <w:tc>
          <w:tcPr>
            <w:tcW w:type="dxa" w:w="876"/>
            <w:vAlign w:val="center"/>
            <w:shd w:fill="E8EDF2"/>
          </w:tcPr>
          <w:p>
            <w:pPr>
              <w:spacing w:after="60" w:before="60" w:line="240" w:lineRule="auto"/>
            </w:pPr>
            <w:r>
              <w:rPr>
                <w:rFonts w:eastAsia="Noto Sans CJK SC"/>
                <w:b/>
                <w:sz w:val="18"/>
              </w:rPr>
              <w:t>覆盖默认次数</w:t>
            </w:r>
          </w:p>
        </w:tc>
        <w:tc>
          <w:tcPr>
            <w:tcW w:type="dxa" w:w="1519"/>
            <w:vAlign w:val="center"/>
            <w:shd w:fill="E8EDF2"/>
          </w:tcPr>
          <w:p>
            <w:pPr>
              <w:spacing w:after="60" w:before="60" w:line="240" w:lineRule="auto"/>
            </w:pPr>
            <w:r>
              <w:rPr>
                <w:rFonts w:eastAsia="Noto Sans CJK SC"/>
                <w:b/>
                <w:sz w:val="18"/>
              </w:rPr>
              <w:t>Help</w:t>
            </w:r>
          </w:p>
        </w:tc>
        <w:tc>
          <w:tcPr>
            <w:tcW w:type="dxa" w:w="1578"/>
            <w:vAlign w:val="center"/>
            <w:shd w:fill="E8EDF2"/>
          </w:tcPr>
          <w:p>
            <w:pPr>
              <w:spacing w:after="60" w:before="60" w:line="240" w:lineRule="auto"/>
            </w:pPr>
            <w:r>
              <w:rPr>
                <w:rFonts w:eastAsia="Noto Sans CJK SC"/>
                <w:b/>
                <w:sz w:val="18"/>
              </w:rPr>
              <w:t>Harm</w:t>
            </w:r>
          </w:p>
        </w:tc>
        <w:tc>
          <w:tcPr>
            <w:tcW w:type="dxa" w:w="2045"/>
            <w:vAlign w:val="center"/>
            <w:shd w:fill="E8EDF2"/>
          </w:tcPr>
          <w:p>
            <w:pPr>
              <w:spacing w:after="60" w:before="60" w:line="240" w:lineRule="auto"/>
            </w:pPr>
            <w:r>
              <w:rPr>
                <w:rFonts w:eastAsia="Noto Sans CJK SC"/>
                <w:b/>
                <w:sz w:val="18"/>
              </w:rPr>
              <w:t>净改善数</w:t>
            </w:r>
          </w:p>
        </w:tc>
        <w:tc>
          <w:tcPr>
            <w:tcW w:type="dxa" w:w="1811"/>
            <w:vAlign w:val="center"/>
            <w:shd w:fill="E8EDF2"/>
          </w:tcPr>
          <w:p>
            <w:pPr>
              <w:spacing w:after="60" w:before="60" w:line="240" w:lineRule="auto"/>
            </w:pPr>
            <w:r>
              <w:rPr>
                <w:rFonts w:eastAsia="Noto Sans CJK SC"/>
                <w:b/>
                <w:sz w:val="18"/>
              </w:rPr>
              <w:t>GAP Recovery</w:t>
            </w:r>
          </w:p>
        </w:tc>
      </w:tr>
      <w:tr>
        <w:trPr>
          <w:cantSplit/>
        </w:trPr>
        <w:tc>
          <w:tcPr>
            <w:tcW w:type="dxa" w:w="1695"/>
            <w:vAlign w:val="center"/>
          </w:tcPr>
          <w:p>
            <w:pPr>
              <w:spacing w:after="60" w:before="60" w:line="240" w:lineRule="auto"/>
            </w:pPr>
            <w:r>
              <w:rPr>
                <w:rFonts w:eastAsia="Noto Sans CJK SC"/>
                <w:b w:val="0"/>
                <w:sz w:val="18"/>
              </w:rPr>
              <w:t>2%</w:t>
            </w:r>
          </w:p>
        </w:tc>
        <w:tc>
          <w:tcPr>
            <w:tcW w:type="dxa" w:w="876"/>
            <w:vAlign w:val="center"/>
          </w:tcPr>
          <w:p>
            <w:pPr>
              <w:spacing w:after="60" w:before="60" w:line="240" w:lineRule="auto"/>
            </w:pPr>
            <w:r>
              <w:rPr>
                <w:rFonts w:eastAsia="Noto Sans CJK SC"/>
                <w:b w:val="0"/>
                <w:sz w:val="18"/>
              </w:rPr>
              <w:t>32</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+2.47%</w:t>
            </w:r>
          </w:p>
        </w:tc>
      </w:tr>
      <w:tr>
        <w:trPr>
          <w:cantSplit/>
        </w:trPr>
        <w:tc>
          <w:tcPr>
            <w:tcW w:type="dxa" w:w="1695"/>
            <w:vAlign w:val="center"/>
          </w:tcPr>
          <w:p>
            <w:pPr>
              <w:spacing w:after="60" w:before="60" w:line="240" w:lineRule="auto"/>
            </w:pPr>
            <w:r>
              <w:rPr>
                <w:rFonts w:eastAsia="Noto Sans CJK SC"/>
                <w:b w:val="0"/>
                <w:sz w:val="18"/>
              </w:rPr>
              <w:t>5%</w:t>
            </w:r>
          </w:p>
        </w:tc>
        <w:tc>
          <w:tcPr>
            <w:tcW w:type="dxa" w:w="876"/>
            <w:vAlign w:val="center"/>
          </w:tcPr>
          <w:p>
            <w:pPr>
              <w:spacing w:after="60" w:before="60" w:line="240" w:lineRule="auto"/>
            </w:pPr>
            <w:r>
              <w:rPr>
                <w:rFonts w:eastAsia="Noto Sans CJK SC"/>
                <w:b w:val="0"/>
                <w:sz w:val="18"/>
              </w:rPr>
              <w:t>80</w:t>
            </w:r>
          </w:p>
        </w:tc>
        <w:tc>
          <w:tcPr>
            <w:tcW w:type="dxa" w:w="1519"/>
            <w:vAlign w:val="center"/>
          </w:tcPr>
          <w:p>
            <w:pPr>
              <w:spacing w:after="60" w:before="60" w:line="240" w:lineRule="auto"/>
            </w:pPr>
            <w:r>
              <w:rPr>
                <w:rFonts w:eastAsia="Noto Sans CJK SC"/>
                <w:b w:val="0"/>
                <w:sz w:val="18"/>
              </w:rPr>
              <w:t>6</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+6</w:t>
            </w:r>
          </w:p>
        </w:tc>
        <w:tc>
          <w:tcPr>
            <w:tcW w:type="dxa" w:w="1811"/>
            <w:vAlign w:val="center"/>
          </w:tcPr>
          <w:p>
            <w:pPr>
              <w:spacing w:after="60" w:before="60" w:line="240" w:lineRule="auto"/>
            </w:pPr>
            <w:r>
              <w:rPr>
                <w:rFonts w:eastAsia="Noto Sans CJK SC"/>
                <w:b w:val="0"/>
                <w:sz w:val="18"/>
              </w:rPr>
              <w:t>+7.41%</w:t>
            </w:r>
          </w:p>
        </w:tc>
      </w:tr>
      <w:tr>
        <w:trPr>
          <w:cantSplit/>
        </w:trPr>
        <w:tc>
          <w:tcPr>
            <w:tcW w:type="dxa" w:w="1695"/>
            <w:vAlign w:val="center"/>
          </w:tcPr>
          <w:p>
            <w:pPr>
              <w:spacing w:after="60" w:before="60" w:line="240" w:lineRule="auto"/>
            </w:pPr>
            <w:r>
              <w:rPr>
                <w:rFonts w:eastAsia="Noto Sans CJK SC"/>
                <w:b w:val="0"/>
                <w:sz w:val="18"/>
              </w:rPr>
              <w:t>10%</w:t>
            </w:r>
          </w:p>
        </w:tc>
        <w:tc>
          <w:tcPr>
            <w:tcW w:type="dxa" w:w="876"/>
            <w:vAlign w:val="center"/>
          </w:tcPr>
          <w:p>
            <w:pPr>
              <w:spacing w:after="60" w:before="60" w:line="240" w:lineRule="auto"/>
            </w:pPr>
            <w:r>
              <w:rPr>
                <w:rFonts w:eastAsia="Noto Sans CJK SC"/>
                <w:b w:val="0"/>
                <w:sz w:val="18"/>
              </w:rPr>
              <w:t>160</w:t>
            </w:r>
          </w:p>
        </w:tc>
        <w:tc>
          <w:tcPr>
            <w:tcW w:type="dxa" w:w="1519"/>
            <w:vAlign w:val="center"/>
          </w:tcPr>
          <w:p>
            <w:pPr>
              <w:spacing w:after="60" w:before="60" w:line="240" w:lineRule="auto"/>
            </w:pPr>
            <w:r>
              <w:rPr>
                <w:rFonts w:eastAsia="Noto Sans CJK SC"/>
                <w:b w:val="0"/>
                <w:sz w:val="18"/>
              </w:rPr>
              <w:t>8</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+7</w:t>
            </w:r>
          </w:p>
        </w:tc>
        <w:tc>
          <w:tcPr>
            <w:tcW w:type="dxa" w:w="1811"/>
            <w:vAlign w:val="center"/>
          </w:tcPr>
          <w:p>
            <w:pPr>
              <w:spacing w:after="60" w:before="60" w:line="240" w:lineRule="auto"/>
            </w:pPr>
            <w:r>
              <w:rPr>
                <w:rFonts w:eastAsia="Noto Sans CJK SC"/>
                <w:b w:val="0"/>
                <w:sz w:val="18"/>
              </w:rPr>
              <w:t>+8.64%</w:t>
            </w:r>
          </w:p>
        </w:tc>
      </w:tr>
      <w:tr>
        <w:trPr>
          <w:cantSplit/>
        </w:trPr>
        <w:tc>
          <w:tcPr>
            <w:tcW w:type="dxa" w:w="1695"/>
            <w:vAlign w:val="center"/>
          </w:tcPr>
          <w:p>
            <w:pPr>
              <w:spacing w:after="60" w:before="60" w:line="240" w:lineRule="auto"/>
            </w:pPr>
            <w:r>
              <w:rPr>
                <w:rFonts w:eastAsia="Noto Sans CJK SC"/>
                <w:b w:val="0"/>
                <w:sz w:val="18"/>
              </w:rPr>
              <w:t>15%</w:t>
            </w:r>
          </w:p>
        </w:tc>
        <w:tc>
          <w:tcPr>
            <w:tcW w:type="dxa" w:w="876"/>
            <w:vAlign w:val="center"/>
          </w:tcPr>
          <w:p>
            <w:pPr>
              <w:spacing w:after="60" w:before="60" w:line="240" w:lineRule="auto"/>
            </w:pPr>
            <w:r>
              <w:rPr>
                <w:rFonts w:eastAsia="Noto Sans CJK SC"/>
                <w:b w:val="0"/>
                <w:sz w:val="18"/>
              </w:rPr>
              <w:t>240</w:t>
            </w:r>
          </w:p>
        </w:tc>
        <w:tc>
          <w:tcPr>
            <w:tcW w:type="dxa" w:w="1519"/>
            <w:vAlign w:val="center"/>
          </w:tcPr>
          <w:p>
            <w:pPr>
              <w:spacing w:after="60" w:before="60" w:line="240" w:lineRule="auto"/>
            </w:pPr>
            <w:r>
              <w:rPr>
                <w:rFonts w:eastAsia="Noto Sans CJK SC"/>
                <w:b w:val="0"/>
                <w:sz w:val="18"/>
              </w:rPr>
              <w:t>8</w:t>
            </w:r>
          </w:p>
        </w:tc>
        <w:tc>
          <w:tcPr>
            <w:tcW w:type="dxa" w:w="1578"/>
            <w:vAlign w:val="center"/>
          </w:tcPr>
          <w:p>
            <w:pPr>
              <w:spacing w:after="60" w:before="60" w:line="240" w:lineRule="auto"/>
            </w:pPr>
            <w:r>
              <w:rPr>
                <w:rFonts w:eastAsia="Noto Sans CJK SC"/>
                <w:b w:val="0"/>
                <w:sz w:val="18"/>
              </w:rPr>
              <w:t>6</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+2.47%</w:t>
            </w:r>
          </w:p>
        </w:tc>
      </w:tr>
      <w:tr>
        <w:trPr>
          <w:cantSplit/>
        </w:trPr>
        <w:tc>
          <w:tcPr>
            <w:tcW w:type="dxa" w:w="1695"/>
            <w:vAlign w:val="center"/>
          </w:tcPr>
          <w:p>
            <w:pPr>
              <w:spacing w:after="60" w:before="60" w:line="240" w:lineRule="auto"/>
            </w:pPr>
            <w:r>
              <w:rPr>
                <w:rFonts w:eastAsia="Noto Sans CJK SC"/>
                <w:b w:val="0"/>
                <w:sz w:val="18"/>
              </w:rPr>
              <w:t>30%</w:t>
            </w:r>
          </w:p>
        </w:tc>
        <w:tc>
          <w:tcPr>
            <w:tcW w:type="dxa" w:w="876"/>
            <w:vAlign w:val="center"/>
          </w:tcPr>
          <w:p>
            <w:pPr>
              <w:spacing w:after="60" w:before="60" w:line="240" w:lineRule="auto"/>
            </w:pPr>
            <w:r>
              <w:rPr>
                <w:rFonts w:eastAsia="Noto Sans CJK SC"/>
                <w:b w:val="0"/>
                <w:sz w:val="18"/>
              </w:rPr>
              <w:t>480</w:t>
            </w:r>
          </w:p>
        </w:tc>
        <w:tc>
          <w:tcPr>
            <w:tcW w:type="dxa" w:w="1519"/>
            <w:vAlign w:val="center"/>
          </w:tcPr>
          <w:p>
            <w:pPr>
              <w:spacing w:after="60" w:before="60" w:line="240" w:lineRule="auto"/>
            </w:pPr>
            <w:r>
              <w:rPr>
                <w:rFonts w:eastAsia="Noto Sans CJK SC"/>
                <w:b w:val="0"/>
                <w:sz w:val="18"/>
              </w:rPr>
              <w:t>12</w:t>
            </w:r>
          </w:p>
        </w:tc>
        <w:tc>
          <w:tcPr>
            <w:tcW w:type="dxa" w:w="1578"/>
            <w:vAlign w:val="center"/>
          </w:tcPr>
          <w:p>
            <w:pPr>
              <w:spacing w:after="60" w:before="60" w:line="240" w:lineRule="auto"/>
            </w:pPr>
            <w:r>
              <w:rPr>
                <w:rFonts w:eastAsia="Noto Sans CJK SC"/>
                <w:b w:val="0"/>
                <w:sz w:val="18"/>
              </w:rPr>
              <w:t>15</w:t>
            </w:r>
          </w:p>
        </w:tc>
        <w:tc>
          <w:tcPr>
            <w:tcW w:type="dxa" w:w="2045"/>
            <w:vAlign w:val="center"/>
          </w:tcPr>
          <w:p>
            <w:pPr>
              <w:spacing w:after="60" w:before="60" w:line="240" w:lineRule="auto"/>
            </w:pPr>
            <w:r>
              <w:rPr>
                <w:rFonts w:eastAsia="Noto Sans CJK SC"/>
                <w:b w:val="0"/>
                <w:sz w:val="18"/>
              </w:rPr>
              <w:t>−3</w:t>
            </w:r>
          </w:p>
        </w:tc>
        <w:tc>
          <w:tcPr>
            <w:tcW w:type="dxa" w:w="1811"/>
            <w:vAlign w:val="center"/>
          </w:tcPr>
          <w:p>
            <w:pPr>
              <w:spacing w:after="60" w:before="60" w:line="240" w:lineRule="auto"/>
            </w:pPr>
            <w:r>
              <w:rPr>
                <w:rFonts w:eastAsia="Noto Sans CJK SC"/>
                <w:b w:val="0"/>
                <w:sz w:val="18"/>
              </w:rPr>
              <w:t>−3.70%</w:t>
            </w:r>
          </w:p>
        </w:tc>
      </w:tr>
      <w:tr>
        <w:trPr>
          <w:cantSplit/>
        </w:trPr>
        <w:tc>
          <w:tcPr>
            <w:tcW w:type="dxa" w:w="1695"/>
            <w:vAlign w:val="center"/>
          </w:tcPr>
          <w:p>
            <w:pPr>
              <w:spacing w:after="60" w:before="60" w:line="240" w:lineRule="auto"/>
            </w:pPr>
            <w:r>
              <w:rPr>
                <w:rFonts w:eastAsia="Noto Sans CJK SC"/>
                <w:b w:val="0"/>
                <w:sz w:val="18"/>
              </w:rPr>
              <w:t>50%</w:t>
            </w:r>
          </w:p>
        </w:tc>
        <w:tc>
          <w:tcPr>
            <w:tcW w:type="dxa" w:w="876"/>
            <w:vAlign w:val="center"/>
          </w:tcPr>
          <w:p>
            <w:pPr>
              <w:spacing w:after="60" w:before="60" w:line="240" w:lineRule="auto"/>
            </w:pPr>
            <w:r>
              <w:rPr>
                <w:rFonts w:eastAsia="Noto Sans CJK SC"/>
                <w:b w:val="0"/>
                <w:sz w:val="18"/>
              </w:rPr>
              <w:t>800</w:t>
            </w:r>
          </w:p>
        </w:tc>
        <w:tc>
          <w:tcPr>
            <w:tcW w:type="dxa" w:w="1519"/>
            <w:vAlign w:val="center"/>
          </w:tcPr>
          <w:p>
            <w:pPr>
              <w:spacing w:after="60" w:before="60" w:line="240" w:lineRule="auto"/>
            </w:pPr>
            <w:r>
              <w:rPr>
                <w:rFonts w:eastAsia="Noto Sans CJK SC"/>
                <w:b w:val="0"/>
                <w:sz w:val="18"/>
              </w:rPr>
              <w:t>22</w:t>
            </w:r>
          </w:p>
        </w:tc>
        <w:tc>
          <w:tcPr>
            <w:tcW w:type="dxa" w:w="1578"/>
            <w:vAlign w:val="center"/>
          </w:tcPr>
          <w:p>
            <w:pPr>
              <w:spacing w:after="60" w:before="60" w:line="240" w:lineRule="auto"/>
            </w:pPr>
            <w:r>
              <w:rPr>
                <w:rFonts w:eastAsia="Noto Sans CJK SC"/>
                <w:b w:val="0"/>
                <w:sz w:val="18"/>
              </w:rPr>
              <w:t>39</w:t>
            </w:r>
          </w:p>
        </w:tc>
        <w:tc>
          <w:tcPr>
            <w:tcW w:type="dxa" w:w="2045"/>
            <w:vAlign w:val="center"/>
          </w:tcPr>
          <w:p>
            <w:pPr>
              <w:spacing w:after="60" w:before="60" w:line="240" w:lineRule="auto"/>
            </w:pPr>
            <w:r>
              <w:rPr>
                <w:rFonts w:eastAsia="Noto Sans CJK SC"/>
                <w:b w:val="0"/>
                <w:sz w:val="18"/>
              </w:rPr>
              <w:t>−17</w:t>
            </w:r>
          </w:p>
        </w:tc>
        <w:tc>
          <w:tcPr>
            <w:tcW w:type="dxa" w:w="1811"/>
            <w:vAlign w:val="center"/>
          </w:tcPr>
          <w:p>
            <w:pPr>
              <w:spacing w:after="60" w:before="60" w:line="240" w:lineRule="auto"/>
            </w:pPr>
            <w:r>
              <w:rPr>
                <w:rFonts w:eastAsia="Noto Sans CJK SC"/>
                <w:b w:val="0"/>
                <w:sz w:val="18"/>
              </w:rPr>
              <w:t>−20.99%</w:t>
            </w:r>
          </w:p>
        </w:tc>
      </w:tr>
    </w:tbl>
    <w:p>
      <w:pPr>
        <w:pStyle w:val="BodyText"/>
      </w:pPr>
      <w:r>
        <w:t xml:space="preserve">在该分析中，5%—10% 覆盖具有正净收益且损害较少；扩大覆盖后，新增有害覆盖逐渐抵消帮助。它支持限制干预范围的机制动机，不证明 5%—10% 是新任务上的通用安全区间，更不能在看到曲线后将这些档位称为事先冻结阈值。</w:t>
      </w:r>
    </w:p>
    <w:p>
      <w:pPr>
        <w:pStyle w:val="BodyText"/>
      </w:pPr>
      <w:r>
        <w:t xml:space="preserve">既有流程在折分前进行全体无标签特征标准化，且覆盖档位为事后解释，因此本节保留开发层级。没有新调整评分器或覆盖阈值，也不以本节结果撤销 Conf-500 未复现的结论。</w:t>
      </w:r>
    </w:p>
    <w:p>
      <w:pPr>
        <w:pStyle w:val="Heading3"/>
      </w:pPr>
      <w:bookmarkStart w:id="55" w:name="动态执行能否利用反馈调整后续策略"/>
      <w:r>
        <w:t xml:space="preserve">5.7 动态执行能否利用反馈调整后续策略</w:t>
      </w:r>
      <w:bookmarkEnd w:id="55"/>
    </w:p>
    <w:p>
      <w:pPr>
        <w:pStyle w:val="FirstParagraph"/>
      </w:pPr>
      <w:r>
        <w:t xml:space="preserve">最新动态对照使用已分析的 48 任务真实调用面板。静态允许局部回退，动态使用反馈更新执行选择。第二版复用已记录的静态前缀并执行分歧请求；真实上游输出进入下游，但推理失败检测与失败计数读取评价答案，属于理想失败检测条件下的 live 实验。</w:t>
      </w:r>
    </w:p>
    <w:p>
      <w:pPr>
        <w:pStyle w:val="BodyText"/>
        <w:keepNext/>
        <w:spacing w:before="160"/>
      </w:pPr>
      <w:r>
        <w:t xml:space="preserve">表 5-8 静态与动态执行</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策略</w:t>
            </w:r>
          </w:p>
        </w:tc>
        <w:tc>
          <w:tcPr>
            <w:tcW w:type="dxa" w:w="876"/>
            <w:vAlign w:val="center"/>
            <w:shd w:fill="E8EDF2"/>
          </w:tcPr>
          <w:p>
            <w:pPr>
              <w:spacing w:after="60" w:before="60" w:line="240" w:lineRule="auto"/>
            </w:pPr>
            <w:r>
              <w:rPr>
                <w:rFonts w:eastAsia="Noto Sans CJK SC"/>
                <w:b/>
                <w:sz w:val="18"/>
              </w:rPr>
              <w:t>正确任务</w:t>
            </w:r>
          </w:p>
        </w:tc>
        <w:tc>
          <w:tcPr>
            <w:tcW w:type="dxa" w:w="1519"/>
            <w:vAlign w:val="center"/>
            <w:shd w:fill="E8EDF2"/>
          </w:tcPr>
          <w:p>
            <w:pPr>
              <w:spacing w:after="60" w:before="60" w:line="240" w:lineRule="auto"/>
            </w:pPr>
            <w:r>
              <w:rPr>
                <w:rFonts w:eastAsia="Noto Sans CJK SC"/>
                <w:b/>
                <w:sz w:val="18"/>
              </w:rPr>
              <w:t>正确率</w:t>
            </w:r>
          </w:p>
        </w:tc>
        <w:tc>
          <w:tcPr>
            <w:tcW w:type="dxa" w:w="1578"/>
            <w:vAlign w:val="center"/>
            <w:shd w:fill="E8EDF2"/>
          </w:tcPr>
          <w:p>
            <w:pPr>
              <w:spacing w:after="60" w:before="60" w:line="240" w:lineRule="auto"/>
            </w:pPr>
            <w:r>
              <w:rPr>
                <w:rFonts w:eastAsia="Noto Sans CJK SC"/>
                <w:b/>
                <w:sz w:val="18"/>
              </w:rPr>
              <w:t>平均 tokens</w:t>
            </w:r>
          </w:p>
        </w:tc>
        <w:tc>
          <w:tcPr>
            <w:tcW w:type="dxa" w:w="2045"/>
            <w:vAlign w:val="center"/>
            <w:shd w:fill="E8EDF2"/>
          </w:tcPr>
          <w:p>
            <w:pPr>
              <w:spacing w:after="60" w:before="60" w:line="240" w:lineRule="auto"/>
            </w:pPr>
            <w:r>
              <w:rPr>
                <w:rFonts w:eastAsia="Noto Sans CJK SC"/>
                <w:b/>
                <w:sz w:val="18"/>
              </w:rPr>
              <w:t>服务时长（秒）</w:t>
            </w:r>
          </w:p>
        </w:tc>
        <w:tc>
          <w:tcPr>
            <w:tcW w:type="dxa" w:w="1811"/>
            <w:vAlign w:val="center"/>
            <w:shd w:fill="E8EDF2"/>
          </w:tcPr>
          <w:p>
            <w:pPr>
              <w:spacing w:after="60" w:before="60" w:line="240" w:lineRule="auto"/>
            </w:pPr>
            <w:r>
              <w:rPr>
                <w:rFonts w:eastAsia="Noto Sans CJK SC"/>
                <w:b/>
                <w:sz w:val="18"/>
              </w:rPr>
              <w:t>Help／Harm</w:t>
            </w:r>
          </w:p>
        </w:tc>
      </w:tr>
      <w:tr>
        <w:trPr>
          <w:cantSplit/>
        </w:trPr>
        <w:tc>
          <w:tcPr>
            <w:tcW w:type="dxa" w:w="1695"/>
            <w:vAlign w:val="center"/>
          </w:tcPr>
          <w:p>
            <w:pPr>
              <w:spacing w:after="60" w:before="60" w:line="240" w:lineRule="auto"/>
            </w:pPr>
            <w:r>
              <w:rPr>
                <w:rFonts w:eastAsia="Noto Sans CJK SC"/>
                <w:b w:val="0"/>
                <w:sz w:val="18"/>
              </w:rPr>
              <w:t>静态</w:t>
            </w:r>
          </w:p>
        </w:tc>
        <w:tc>
          <w:tcPr>
            <w:tcW w:type="dxa" w:w="876"/>
            <w:vAlign w:val="center"/>
          </w:tcPr>
          <w:p>
            <w:pPr>
              <w:spacing w:after="60" w:before="60" w:line="240" w:lineRule="auto"/>
            </w:pPr>
            <w:r>
              <w:rPr>
                <w:rFonts w:eastAsia="Noto Sans CJK SC"/>
                <w:b w:val="0"/>
                <w:sz w:val="18"/>
              </w:rPr>
              <w:t>25/48</w:t>
            </w:r>
          </w:p>
        </w:tc>
        <w:tc>
          <w:tcPr>
            <w:tcW w:type="dxa" w:w="1519"/>
            <w:vAlign w:val="center"/>
          </w:tcPr>
          <w:p>
            <w:pPr>
              <w:spacing w:after="60" w:before="60" w:line="240" w:lineRule="auto"/>
            </w:pPr>
            <w:r>
              <w:rPr>
                <w:rFonts w:eastAsia="Noto Sans CJK SC"/>
                <w:b w:val="0"/>
                <w:sz w:val="18"/>
              </w:rPr>
              <w:t>52.08%</w:t>
            </w:r>
          </w:p>
        </w:tc>
        <w:tc>
          <w:tcPr>
            <w:tcW w:type="dxa" w:w="1578"/>
            <w:vAlign w:val="center"/>
          </w:tcPr>
          <w:p>
            <w:pPr>
              <w:spacing w:after="60" w:before="60" w:line="240" w:lineRule="auto"/>
            </w:pPr>
            <w:r>
              <w:rPr>
                <w:rFonts w:eastAsia="Noto Sans CJK SC"/>
                <w:b w:val="0"/>
                <w:sz w:val="18"/>
              </w:rPr>
              <w:t>1,402.2</w:t>
            </w:r>
          </w:p>
        </w:tc>
        <w:tc>
          <w:tcPr>
            <w:tcW w:type="dxa" w:w="2045"/>
            <w:vAlign w:val="center"/>
          </w:tcPr>
          <w:p>
            <w:pPr>
              <w:spacing w:after="60" w:before="60" w:line="240" w:lineRule="auto"/>
            </w:pPr>
            <w:r>
              <w:rPr>
                <w:rFonts w:eastAsia="Noto Sans CJK SC"/>
                <w:b w:val="0"/>
                <w:sz w:val="18"/>
              </w:rPr>
              <w:t>2.95</w:t>
            </w:r>
          </w:p>
        </w:tc>
        <w:tc>
          <w:tcPr>
            <w:tcW w:type="dxa" w:w="1811"/>
            <w:vAlign w:val="center"/>
          </w:tcPr>
          <w:p>
            <w:pPr>
              <w:spacing w:after="60" w:before="60" w:line="240" w:lineRule="auto"/>
            </w:pPr>
            <w:r>
              <w:rPr>
                <w:rFonts w:eastAsia="Noto Sans CJK SC"/>
                <w:b w:val="0"/>
                <w:sz w:val="18"/>
              </w:rPr>
              <w:t>—</w:t>
            </w:r>
          </w:p>
        </w:tc>
      </w:tr>
      <w:tr>
        <w:trPr>
          <w:cantSplit/>
        </w:trPr>
        <w:tc>
          <w:tcPr>
            <w:tcW w:type="dxa" w:w="1695"/>
            <w:vAlign w:val="center"/>
          </w:tcPr>
          <w:p>
            <w:pPr>
              <w:spacing w:after="60" w:before="60" w:line="240" w:lineRule="auto"/>
            </w:pPr>
            <w:r>
              <w:rPr>
                <w:rFonts w:eastAsia="Noto Sans CJK SC"/>
                <w:b w:val="0"/>
                <w:sz w:val="18"/>
              </w:rPr>
              <w:t>动态第一版</w:t>
            </w:r>
          </w:p>
        </w:tc>
        <w:tc>
          <w:tcPr>
            <w:tcW w:type="dxa" w:w="876"/>
            <w:vAlign w:val="center"/>
          </w:tcPr>
          <w:p>
            <w:pPr>
              <w:spacing w:after="60" w:before="60" w:line="240" w:lineRule="auto"/>
            </w:pPr>
            <w:r>
              <w:rPr>
                <w:rFonts w:eastAsia="Noto Sans CJK SC"/>
                <w:b w:val="0"/>
                <w:sz w:val="18"/>
              </w:rPr>
              <w:t>26/48</w:t>
            </w:r>
          </w:p>
        </w:tc>
        <w:tc>
          <w:tcPr>
            <w:tcW w:type="dxa" w:w="1519"/>
            <w:vAlign w:val="center"/>
          </w:tcPr>
          <w:p>
            <w:pPr>
              <w:spacing w:after="60" w:before="60" w:line="240" w:lineRule="auto"/>
            </w:pPr>
            <w:r>
              <w:rPr>
                <w:rFonts w:eastAsia="Noto Sans CJK SC"/>
                <w:b w:val="0"/>
                <w:sz w:val="18"/>
              </w:rPr>
              <w:t>54.17%</w:t>
            </w:r>
          </w:p>
        </w:tc>
        <w:tc>
          <w:tcPr>
            <w:tcW w:type="dxa" w:w="1578"/>
            <w:vAlign w:val="center"/>
          </w:tcPr>
          <w:p>
            <w:pPr>
              <w:spacing w:after="60" w:before="60" w:line="240" w:lineRule="auto"/>
            </w:pPr>
            <w:r>
              <w:rPr>
                <w:rFonts w:eastAsia="Noto Sans CJK SC"/>
                <w:b w:val="0"/>
                <w:sz w:val="18"/>
              </w:rPr>
              <w:t>1,403.8</w:t>
            </w:r>
          </w:p>
        </w:tc>
        <w:tc>
          <w:tcPr>
            <w:tcW w:type="dxa" w:w="2045"/>
            <w:vAlign w:val="center"/>
          </w:tcPr>
          <w:p>
            <w:pPr>
              <w:spacing w:after="60" w:before="60" w:line="240" w:lineRule="auto"/>
            </w:pPr>
            <w:r>
              <w:rPr>
                <w:rFonts w:eastAsia="Noto Sans CJK SC"/>
                <w:b w:val="0"/>
                <w:sz w:val="18"/>
              </w:rPr>
              <w:t>2.89</w:t>
            </w:r>
          </w:p>
        </w:tc>
        <w:tc>
          <w:tcPr>
            <w:tcW w:type="dxa" w:w="1811"/>
            <w:vAlign w:val="center"/>
          </w:tcPr>
          <w:p>
            <w:pPr>
              <w:spacing w:after="60" w:before="60" w:line="240" w:lineRule="auto"/>
            </w:pPr>
            <w:r>
              <w:rPr>
                <w:rFonts w:eastAsia="Noto Sans CJK SC"/>
                <w:b w:val="0"/>
                <w:sz w:val="18"/>
              </w:rPr>
              <w:t>2／1</w:t>
            </w:r>
          </w:p>
        </w:tc>
      </w:tr>
      <w:tr>
        <w:trPr>
          <w:cantSplit/>
        </w:trPr>
        <w:tc>
          <w:tcPr>
            <w:tcW w:type="dxa" w:w="1695"/>
            <w:vAlign w:val="center"/>
          </w:tcPr>
          <w:p>
            <w:pPr>
              <w:spacing w:after="60" w:before="60" w:line="240" w:lineRule="auto"/>
            </w:pPr>
            <w:r>
              <w:rPr>
                <w:rFonts w:eastAsia="Noto Sans CJK SC"/>
                <w:b w:val="0"/>
                <w:sz w:val="18"/>
              </w:rPr>
              <w:t>动态第二版</w:t>
            </w:r>
          </w:p>
        </w:tc>
        <w:tc>
          <w:tcPr>
            <w:tcW w:type="dxa" w:w="876"/>
            <w:vAlign w:val="center"/>
          </w:tcPr>
          <w:p>
            <w:pPr>
              <w:spacing w:after="60" w:before="60" w:line="240" w:lineRule="auto"/>
            </w:pPr>
            <w:r>
              <w:rPr>
                <w:rFonts w:eastAsia="Noto Sans CJK SC"/>
                <w:b w:val="0"/>
                <w:sz w:val="18"/>
              </w:rPr>
              <w:t>26/48</w:t>
            </w:r>
          </w:p>
        </w:tc>
        <w:tc>
          <w:tcPr>
            <w:tcW w:type="dxa" w:w="1519"/>
            <w:vAlign w:val="center"/>
          </w:tcPr>
          <w:p>
            <w:pPr>
              <w:spacing w:after="60" w:before="60" w:line="240" w:lineRule="auto"/>
            </w:pPr>
            <w:r>
              <w:rPr>
                <w:rFonts w:eastAsia="Noto Sans CJK SC"/>
                <w:b w:val="0"/>
                <w:sz w:val="18"/>
              </w:rPr>
              <w:t>54.17%</w:t>
            </w:r>
          </w:p>
        </w:tc>
        <w:tc>
          <w:tcPr>
            <w:tcW w:type="dxa" w:w="1578"/>
            <w:vAlign w:val="center"/>
          </w:tcPr>
          <w:p>
            <w:pPr>
              <w:spacing w:after="60" w:before="60" w:line="240" w:lineRule="auto"/>
            </w:pPr>
            <w:r>
              <w:rPr>
                <w:rFonts w:eastAsia="Noto Sans CJK SC"/>
                <w:b w:val="0"/>
                <w:sz w:val="18"/>
              </w:rPr>
              <w:t>1,400.6</w:t>
            </w:r>
          </w:p>
        </w:tc>
        <w:tc>
          <w:tcPr>
            <w:tcW w:type="dxa" w:w="2045"/>
            <w:vAlign w:val="center"/>
          </w:tcPr>
          <w:p>
            <w:pPr>
              <w:spacing w:after="60" w:before="60" w:line="240" w:lineRule="auto"/>
            </w:pPr>
            <w:r>
              <w:rPr>
                <w:rFonts w:eastAsia="Noto Sans CJK SC"/>
                <w:b w:val="0"/>
                <w:sz w:val="18"/>
              </w:rPr>
              <w:t>3.09</w:t>
            </w:r>
          </w:p>
        </w:tc>
        <w:tc>
          <w:tcPr>
            <w:tcW w:type="dxa" w:w="1811"/>
            <w:vAlign w:val="center"/>
          </w:tcPr>
          <w:p>
            <w:pPr>
              <w:spacing w:after="60" w:before="60" w:line="240" w:lineRule="auto"/>
            </w:pPr>
            <w:r>
              <w:rPr>
                <w:rFonts w:eastAsia="Noto Sans CJK SC"/>
                <w:b w:val="0"/>
                <w:sz w:val="18"/>
              </w:rPr>
              <w:t>1／0</w:t>
            </w:r>
          </w:p>
        </w:tc>
      </w:tr>
    </w:tbl>
    <w:p>
      <w:pPr>
        <w:pStyle w:val="BodyText"/>
      </w:pPr>
      <w:r>
        <w:t xml:space="preserve">第二版相对静态约 +2.08 个百分点，已有逐任务复核区间 [0,6.25] 个百分点包含零，差异不显著。第一版相应区间为 [−4.17,10.42]。第二版减少观察到的 Harm，同时也少一个 Help，总正确数未变化；其服务时间略高于静态，不能写成 Q/C/L 全面占优。</w:t>
      </w:r>
    </w:p>
    <w:p>
      <w:pPr>
        <w:pStyle w:val="BodyText"/>
      </w:pPr>
      <w:r>
        <w:t xml:space="preserve">实现中 25/48 个任务带重调度标记，包含局部回退，不能等同于多后继全局调整。token 预算违规为零，但预算基准取静态实际消耗的 1.2 倍，非到达时即可知道的预算。该面板此前已分析，不是未经接触的 held-out test。</w:t>
      </w:r>
    </w:p>
    <w:p>
      <w:pPr>
        <w:pStyle w:val="BodyText"/>
      </w:pPr>
      <w:r>
        <w:t xml:space="preserve">开发层受控故障提供补充机制证据：模型分配干预中出现 Help=2、Harm=0；证据缺失为 1／1，错误中间值为 0／0。无干预对照仍有一例损害，且原恢复率汇总存在计数错误，故本稿只保留已复核 Help/Harm，不据此宣称严格的单因素因果证明。动态策略能够利用某些既有替代机会，但不能保证修正所有上游错误。</w:t>
      </w:r>
    </w:p>
    <w:p>
      <w:pPr>
        <w:pStyle w:val="BodyText"/>
      </w:pPr>
      <w:r>
        <w:t xml:space="preserve">为把</w:t>
      </w:r>
      <w:r>
        <w:t xml:space="preserve">“</w:t>
      </w:r>
      <w:r>
        <w:t xml:space="preserve">+2 个百分点左右的小效应</w:t>
      </w:r>
      <w:r>
        <w:t xml:space="preserve">”</w:t>
      </w:r>
      <w:r>
        <w:t xml:space="preserve">与样本波动区分开，本文在 250 个全新的 TAT-QA train split 任务上做了一次性冻结确认（</w:t>
      </w:r>
      <w:r>
        <w:rPr>
          <w:rStyle w:val="VerbatimChar"/>
        </w:rPr>
        <w:t xml:space="preserve">dynamic_v2_confirm_250</w:t>
      </w:r>
      <w:r>
        <w:t xml:space="preserve">，策略与阈值同 48 任务面板逐字一致，选择规则与任务清单在任何调用前冻结并提交；与工作区全部历史工件零重叠）。结果：静态 103/250（41.2%）、动态 110/250（44.0%），配对 ΔQ = +2.8pp，任务级 bootstrap 95% CI [−0.8, +6.4] 覆盖零；McNemar 精确检验 b=13、c=6，p=0.167；Help/Harm = 13/6；平均 tokens 略低于静态（1,337.5 对 1,350.3），预算违规 0。按预注册三情形判定为情形二：</w:t>
      </w:r>
      <w:r>
        <w:rPr>
          <w:b/>
        </w:rPr>
        <w:t xml:space="preserve">方向在第二个独立面板复现（+2.1 → +2.8），规模一致，但统计上仍未确证</w:t>
      </w:r>
      <w:r>
        <w:t xml:space="preserve">。本文如实报告：动态第二版的端到端质量收益应描述为</w:t>
      </w:r>
      <w:r>
        <w:t xml:space="preserve">“</w:t>
      </w:r>
      <w:r>
        <w:t xml:space="preserve">在两个独立面板上方向一致的小幅正向信号</w:t>
      </w:r>
      <w:r>
        <w:t xml:space="preserve">”</w:t>
      </w:r>
      <w:r>
        <w:t xml:space="preserve">，不是已确证的改进；其可确证的价值仍是 harm 控制与零预算违规。</w:t>
      </w:r>
    </w:p>
    <w:p>
      <w:pPr>
        <w:pStyle w:val="BodyText"/>
      </w:pPr>
      <w:r>
        <w:t xml:space="preserve">多节点结构验证。上述两面板均为两节点链；为回应</w:t>
      </w:r>
      <w:r>
        <w:t xml:space="preserve">“</w:t>
      </w:r>
      <w:r>
        <w:t xml:space="preserve">自适应 DAG 与两阶段流水线有何区别</w:t>
      </w:r>
      <w:r>
        <w:t xml:space="preserve">”</w:t>
      </w:r>
      <w:r>
        <w:t xml:space="preserve">，本文构建了真实的四节点 DAG 面板（</w:t>
      </w:r>
      <w:r>
        <w:rPr>
          <w:rStyle w:val="VerbatimChar"/>
        </w:rPr>
        <w:t xml:space="preserve">multidag_dynamic_120</w:t>
      </w:r>
      <w:r>
        <w:t xml:space="preserve">，120 个全新任务，策略在任何调用前冻结并提交）：e1（表格抽取，large）与 e2（文本抽取，large）并联为分支，r（汇总表达式生成，medium）为汇合点，v（数值校验，coder）为尾节点；仅选择 gold 答案同时需要表格与文本区域的任务（TAT-QA answer_from = table-text），保证分支在结构上不可退化。两臂共享初始分配、prompt、生成配置与预算规则（1.2×静态实际消耗），失败检测为理想条件，差异仅为冻结的适应规则（静态：每失败节点一次本地回退 e→coder、r→coder、v→medium；动态：抽取失败记忆切换、r/v 升级 large 并受预算门控）。结果：静态 16.7%、动态 36.7%，配对 ΔQ = +20.0pp，95% CI [11.7, 28.3] 不含零；McNemar 精确检验 b=28、c=4，p≈1.9×10⁻⁵；Help/Harm = 28/4；动态成本略低（−90 tokens）、预算违规 0。选择性更新审计：933 次适配调用的每一次都属于某失败节点或其声明后代闭包（越界 0 次）；分支隔离检查 134 例全部通过——单侧分支失败时，干净分支从未被重执行，即</w:t>
      </w:r>
      <w:r>
        <w:rPr>
          <w:b/>
        </w:rPr>
        <w:t xml:space="preserve">只更新真正受影响的后代，从不全图重跑</w:t>
      </w:r>
      <w:r>
        <w:t xml:space="preserve">。这是本文第一次在含分支与汇合的多节点真实传播下得到 Dynamic 显著优于 Static 的证据。同时如实说明边界：区域受限抽取（仅表格或仅文本）的失败率（158/480 节点槽位）远高于全上下文抽取；校验尾节点几乎在所有任务上都触发适配，动态收益相当部分来自 r/v 升级 large；结论限于该任务结构、单域与理想失败检测条件。</w:t>
      </w:r>
    </w:p>
    <w:p>
      <w:pPr>
        <w:pStyle w:val="BodyText"/>
      </w:pPr>
      <w:r>
        <w:t xml:space="preserve">公平性与真实反馈消融（</w:t>
      </w:r>
      <w:r>
        <w:rPr>
          <w:rStyle w:val="VerbatimChar"/>
        </w:rPr>
        <w:t xml:space="preserve">multidag_ablation_120</w:t>
      </w:r>
      <w:r>
        <w:t xml:space="preserve">，两个预注册对照臂，同一冻结面板，830 次新调用）。</w:t>
      </w:r>
      <w:r>
        <w:rPr>
          <w:b/>
        </w:rPr>
        <w:t xml:space="preserve">Static-Matched 臂</w:t>
      </w:r>
      <w:r>
        <w:t xml:space="preserve">保持静态语义但将恢复目标换成动态的升级目标（r 失败→large、v 失败→large）：Q = 35.0%（+18.3pp，CI [10.0, 26.7]），完整动态策略 36.7%——策略超出目标选择的额外贡献仅 +1.7pp（CI [−4.2, +7.5]，McNemar p=0.77）。</w:t>
      </w:r>
      <w:r>
        <w:rPr>
          <w:b/>
        </w:rPr>
        <w:t xml:space="preserve">归因如实报告：主要质量增益来自</w:t>
      </w:r>
      <w:r>
        <w:rPr>
          <w:b/>
        </w:rPr>
        <w:t xml:space="preserve">“</w:t>
      </w:r>
      <w:r>
        <w:rPr>
          <w:b/>
        </w:rPr>
        <w:t xml:space="preserve">失败节点升级至最强未试模型</w:t>
      </w:r>
      <w:r>
        <w:rPr>
          <w:b/>
        </w:rPr>
        <w:t xml:space="preserve">”</w:t>
      </w:r>
      <w:r>
        <w:rPr>
          <w:b/>
        </w:rPr>
        <w:t xml:space="preserve">这一动作本身；动态框架的可确证价值在于以选择性更新与预算约束安全地承载该动作</w:t>
      </w:r>
      <w:r>
        <w:t xml:space="preserve">。</w:t>
      </w:r>
      <w:r>
        <w:rPr>
          <w:b/>
        </w:rPr>
        <w:t xml:space="preserve">Dynamic-RealDetector 臂</w:t>
      </w:r>
      <w:r>
        <w:t xml:space="preserve">将失败检测全部替换为部署可得信号（解析/执行检查加 v 与 r 的输出一致性，无 gold）：Q = 35.0%，</w:t>
      </w:r>
      <w:r>
        <w:rPr>
          <w:b/>
        </w:rPr>
        <w:t xml:space="preserve">增益保留率 91.7%</w:t>
      </w:r>
      <w:r>
        <w:t xml:space="preserve">（CI [77.8%, 100%]），与理想检测无显著差异（p=0.5），成本更低（2,459.5 tokens）。机制边界如实说明：尾节点一致性检查在本面板近乎全触发（离线审计已表明其退化为常发），等价于</w:t>
      </w:r>
      <w:r>
        <w:t xml:space="preserve">“</w:t>
      </w:r>
      <w:r>
        <w:t xml:space="preserve">尾节点总是请求更强模型复核</w:t>
      </w:r>
      <w:r>
        <w:t xml:space="preserve">”</w:t>
      </w:r>
      <w:r>
        <w:t xml:space="preserve">；r 节点的值错误检测不到，但该缺口在本面板代价很小。结论：</w:t>
      </w:r>
      <w:r>
        <w:rPr>
          <w:b/>
        </w:rPr>
        <w:t xml:space="preserve">动态 DAG 的收益不依赖 gold 失败信号</w:t>
      </w:r>
      <w:r>
        <w:t xml:space="preserve">。</w:t>
      </w:r>
    </w:p>
    <w:p>
      <w:pPr>
        <w:pStyle w:val="Heading3"/>
      </w:pPr>
      <w:bookmarkStart w:id="56" w:name="恢复预算与能力覆盖如何限制收益"/>
      <w:r>
        <w:t xml:space="preserve">5.8 恢复、预算与能力覆盖如何限制收益</w:t>
      </w:r>
      <w:bookmarkEnd w:id="56"/>
    </w:p>
    <w:p>
      <w:pPr>
        <w:pStyle w:val="Heading4"/>
      </w:pPr>
      <w:bookmarkStart w:id="57" w:name="真实失败与动作覆盖"/>
      <w:r>
        <w:t xml:space="preserve">5.8.1 真实失败与动作覆盖</w:t>
      </w:r>
      <w:bookmarkEnd w:id="57"/>
    </w:p>
    <w:p>
      <w:pPr>
        <w:pStyle w:val="FirstParagraph"/>
      </w:pPr>
      <w:r>
        <w:t xml:space="preserve">原 148 个缺陷节点中有 32 个原最终答案已正确，审计后恢复集合为 116 个节点、96 个任务。恢复以原最终答案错误为前提，避免将再次答对原本正确的任务计为救回。</w:t>
      </w:r>
    </w:p>
    <w:p>
      <w:pPr>
        <w:pStyle w:val="BodyText"/>
        <w:keepNext/>
        <w:spacing w:before="160"/>
      </w:pPr>
      <w:r>
        <w:t xml:space="preserve">表 5-9 固定恢复动作的真实失败覆盖</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失败类型</w:t>
            </w:r>
          </w:p>
        </w:tc>
        <w:tc>
          <w:tcPr>
            <w:tcW w:type="dxa" w:w="876"/>
            <w:vAlign w:val="center"/>
            <w:shd w:fill="E8EDF2"/>
          </w:tcPr>
          <w:p>
            <w:pPr>
              <w:spacing w:after="60" w:before="60" w:line="240" w:lineRule="auto"/>
            </w:pPr>
            <w:r>
              <w:rPr>
                <w:rFonts w:eastAsia="Noto Sans CJK SC"/>
                <w:b/>
                <w:sz w:val="18"/>
              </w:rPr>
              <w:t>节点数</w:t>
            </w:r>
          </w:p>
        </w:tc>
        <w:tc>
          <w:tcPr>
            <w:tcW w:type="dxa" w:w="1519"/>
            <w:vAlign w:val="center"/>
            <w:shd w:fill="E8EDF2"/>
          </w:tcPr>
          <w:p>
            <w:pPr>
              <w:spacing w:after="60" w:before="60" w:line="240" w:lineRule="auto"/>
            </w:pPr>
            <w:r>
              <w:rPr>
                <w:rFonts w:eastAsia="Noto Sans CJK SC"/>
                <w:b/>
                <w:sz w:val="18"/>
              </w:rPr>
              <w:t>再次调用</w:t>
            </w:r>
          </w:p>
        </w:tc>
        <w:tc>
          <w:tcPr>
            <w:tcW w:type="dxa" w:w="1578"/>
            <w:vAlign w:val="center"/>
            <w:shd w:fill="E8EDF2"/>
          </w:tcPr>
          <w:p>
            <w:pPr>
              <w:spacing w:after="60" w:before="60" w:line="240" w:lineRule="auto"/>
            </w:pPr>
            <w:r>
              <w:rPr>
                <w:rFonts w:eastAsia="Noto Sans CJK SC"/>
                <w:b/>
                <w:sz w:val="18"/>
              </w:rPr>
              <w:t>切换模型</w:t>
            </w:r>
          </w:p>
        </w:tc>
        <w:tc>
          <w:tcPr>
            <w:tcW w:type="dxa" w:w="2045"/>
            <w:vAlign w:val="center"/>
            <w:shd w:fill="E8EDF2"/>
          </w:tcPr>
          <w:p>
            <w:pPr>
              <w:spacing w:after="60" w:before="60" w:line="240" w:lineRule="auto"/>
            </w:pPr>
            <w:r>
              <w:rPr>
                <w:rFonts w:eastAsia="Noto Sans CJK SC"/>
                <w:b/>
                <w:sz w:val="18"/>
              </w:rPr>
              <w:t>重新取证</w:t>
            </w:r>
          </w:p>
        </w:tc>
        <w:tc>
          <w:tcPr>
            <w:tcW w:type="dxa" w:w="1811"/>
            <w:vAlign w:val="center"/>
            <w:shd w:fill="E8EDF2"/>
          </w:tcPr>
          <w:p>
            <w:pPr>
              <w:spacing w:after="60" w:before="60" w:line="240" w:lineRule="auto"/>
            </w:pPr>
            <w:r>
              <w:rPr>
                <w:rFonts w:eastAsia="Noto Sans CJK SC"/>
                <w:b/>
                <w:sz w:val="18"/>
              </w:rPr>
              <w:t>局部分解</w:t>
            </w:r>
          </w:p>
        </w:tc>
      </w:tr>
      <w:tr>
        <w:trPr>
          <w:cantSplit/>
        </w:trPr>
        <w:tc>
          <w:tcPr>
            <w:tcW w:type="dxa" w:w="1695"/>
            <w:vAlign w:val="center"/>
          </w:tcPr>
          <w:p>
            <w:pPr>
              <w:spacing w:after="60" w:before="60" w:line="240" w:lineRule="auto"/>
            </w:pPr>
            <w:r>
              <w:rPr>
                <w:rFonts w:eastAsia="Noto Sans CJK SC"/>
                <w:b w:val="0"/>
                <w:sz w:val="18"/>
              </w:rPr>
              <w:t>证据类</w:t>
            </w:r>
          </w:p>
        </w:tc>
        <w:tc>
          <w:tcPr>
            <w:tcW w:type="dxa" w:w="876"/>
            <w:vAlign w:val="center"/>
          </w:tcPr>
          <w:p>
            <w:pPr>
              <w:spacing w:after="60" w:before="60" w:line="240" w:lineRule="auto"/>
            </w:pPr>
            <w:r>
              <w:rPr>
                <w:rFonts w:eastAsia="Noto Sans CJK SC"/>
                <w:b w:val="0"/>
                <w:sz w:val="18"/>
              </w:rPr>
              <w:t>45</w:t>
            </w:r>
          </w:p>
        </w:tc>
        <w:tc>
          <w:tcPr>
            <w:tcW w:type="dxa" w:w="1519"/>
            <w:vAlign w:val="center"/>
          </w:tcPr>
          <w:p>
            <w:pPr>
              <w:spacing w:after="60" w:before="60" w:line="240" w:lineRule="auto"/>
            </w:pPr>
            <w:r>
              <w:rPr>
                <w:rFonts w:eastAsia="Noto Sans CJK SC"/>
                <w:b w:val="0"/>
                <w:sz w:val="18"/>
              </w:rPr>
              <w:t>0</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1</w:t>
            </w:r>
          </w:p>
        </w:tc>
      </w:tr>
      <w:tr>
        <w:trPr>
          <w:cantSplit/>
        </w:trPr>
        <w:tc>
          <w:tcPr>
            <w:tcW w:type="dxa" w:w="1695"/>
            <w:vAlign w:val="center"/>
          </w:tcPr>
          <w:p>
            <w:pPr>
              <w:spacing w:after="60" w:before="60" w:line="240" w:lineRule="auto"/>
            </w:pPr>
            <w:r>
              <w:rPr>
                <w:rFonts w:eastAsia="Noto Sans CJK SC"/>
                <w:b w:val="0"/>
                <w:sz w:val="18"/>
              </w:rPr>
              <w:t>推理类</w:t>
            </w:r>
          </w:p>
        </w:tc>
        <w:tc>
          <w:tcPr>
            <w:tcW w:type="dxa" w:w="876"/>
            <w:vAlign w:val="center"/>
          </w:tcPr>
          <w:p>
            <w:pPr>
              <w:spacing w:after="60" w:before="60" w:line="240" w:lineRule="auto"/>
            </w:pPr>
            <w:r>
              <w:rPr>
                <w:rFonts w:eastAsia="Noto Sans CJK SC"/>
                <w:b w:val="0"/>
                <w:sz w:val="18"/>
              </w:rPr>
              <w:t>48</w:t>
            </w:r>
          </w:p>
        </w:tc>
        <w:tc>
          <w:tcPr>
            <w:tcW w:type="dxa" w:w="1519"/>
            <w:vAlign w:val="center"/>
          </w:tcPr>
          <w:p>
            <w:pPr>
              <w:spacing w:after="60" w:before="60" w:line="240" w:lineRule="auto"/>
            </w:pPr>
            <w:r>
              <w:rPr>
                <w:rFonts w:eastAsia="Noto Sans CJK SC"/>
                <w:b w:val="0"/>
                <w:sz w:val="18"/>
              </w:rPr>
              <w:t>0</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1</w:t>
            </w:r>
          </w:p>
        </w:tc>
        <w:tc>
          <w:tcPr>
            <w:tcW w:type="dxa" w:w="1811"/>
            <w:vAlign w:val="center"/>
          </w:tcPr>
          <w:p>
            <w:pPr>
              <w:spacing w:after="60" w:before="60" w:line="240" w:lineRule="auto"/>
            </w:pPr>
            <w:r>
              <w:rPr>
                <w:rFonts w:eastAsia="Noto Sans CJK SC"/>
                <w:b w:val="0"/>
                <w:sz w:val="18"/>
              </w:rPr>
              <w:t>1</w:t>
            </w:r>
          </w:p>
        </w:tc>
      </w:tr>
      <w:tr>
        <w:trPr>
          <w:cantSplit/>
        </w:trPr>
        <w:tc>
          <w:tcPr>
            <w:tcW w:type="dxa" w:w="1695"/>
            <w:vAlign w:val="center"/>
          </w:tcPr>
          <w:p>
            <w:pPr>
              <w:spacing w:after="60" w:before="60" w:line="240" w:lineRule="auto"/>
            </w:pPr>
            <w:r>
              <w:rPr>
                <w:rFonts w:eastAsia="Noto Sans CJK SC"/>
                <w:b w:val="0"/>
                <w:sz w:val="18"/>
              </w:rPr>
              <w:t>结构类</w:t>
            </w:r>
          </w:p>
        </w:tc>
        <w:tc>
          <w:tcPr>
            <w:tcW w:type="dxa" w:w="876"/>
            <w:vAlign w:val="center"/>
          </w:tcPr>
          <w:p>
            <w:pPr>
              <w:spacing w:after="60" w:before="60" w:line="240" w:lineRule="auto"/>
            </w:pPr>
            <w:r>
              <w:rPr>
                <w:rFonts w:eastAsia="Noto Sans CJK SC"/>
                <w:b w:val="0"/>
                <w:sz w:val="18"/>
              </w:rPr>
              <w:t>23</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0</w:t>
            </w:r>
          </w:p>
        </w:tc>
      </w:tr>
      <w:tr>
        <w:trPr>
          <w:cantSplit/>
        </w:trPr>
        <w:tc>
          <w:tcPr>
            <w:tcW w:type="dxa" w:w="1695"/>
            <w:vAlign w:val="center"/>
          </w:tcPr>
          <w:p>
            <w:pPr>
              <w:spacing w:after="60" w:before="60" w:line="240" w:lineRule="auto"/>
            </w:pPr>
            <w:r>
              <w:rPr>
                <w:rFonts w:eastAsia="Noto Sans CJK SC"/>
                <w:b w:val="0"/>
                <w:sz w:val="18"/>
              </w:rPr>
              <w:t>合计</w:t>
            </w:r>
          </w:p>
        </w:tc>
        <w:tc>
          <w:tcPr>
            <w:tcW w:type="dxa" w:w="876"/>
            <w:vAlign w:val="center"/>
          </w:tcPr>
          <w:p>
            <w:pPr>
              <w:spacing w:after="60" w:before="60" w:line="240" w:lineRule="auto"/>
            </w:pPr>
            <w:r>
              <w:rPr>
                <w:rFonts w:eastAsia="Noto Sans CJK SC"/>
                <w:b w:val="0"/>
                <w:sz w:val="18"/>
              </w:rPr>
              <w:t>116</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2</w:t>
            </w:r>
          </w:p>
        </w:tc>
        <w:tc>
          <w:tcPr>
            <w:tcW w:type="dxa" w:w="2045"/>
            <w:vAlign w:val="center"/>
          </w:tcPr>
          <w:p>
            <w:pPr>
              <w:spacing w:after="60" w:before="60" w:line="240" w:lineRule="auto"/>
            </w:pPr>
            <w:r>
              <w:rPr>
                <w:rFonts w:eastAsia="Noto Sans CJK SC"/>
                <w:b w:val="0"/>
                <w:sz w:val="18"/>
              </w:rPr>
              <w:t>5</w:t>
            </w:r>
          </w:p>
        </w:tc>
        <w:tc>
          <w:tcPr>
            <w:tcW w:type="dxa" w:w="1811"/>
            <w:vAlign w:val="center"/>
          </w:tcPr>
          <w:p>
            <w:pPr>
              <w:spacing w:after="60" w:before="60" w:line="240" w:lineRule="auto"/>
            </w:pPr>
            <w:r>
              <w:rPr>
                <w:rFonts w:eastAsia="Noto Sans CJK SC"/>
                <w:b w:val="0"/>
                <w:sz w:val="18"/>
              </w:rPr>
              <w:t>2</w:t>
            </w:r>
          </w:p>
        </w:tc>
      </w:tr>
    </w:tbl>
    <w:p>
      <w:pPr>
        <w:pStyle w:val="BodyText"/>
      </w:pPr>
      <w:r>
        <w:t xml:space="preserve">各动作成功集合重叠，其并集仅为 8/116，即 6.90%。当前主要限制包括动作集合本身覆盖不足；即使选择完全正确，也无法恢复该固定集合没有成功输出的节点。这一结论仅限该困难集合及固定模型、提示与动作，不是所有任务的唯一瓶颈。两个再次调用的真实恢复案例并未保持原提示，因此不证明零温度同提示重试有效。</w:t>
      </w:r>
    </w:p>
    <w:p>
      <w:pPr>
        <w:pStyle w:val="BodyText"/>
      </w:pPr>
      <w:r>
        <w:t xml:space="preserve">局部子图重规划在独立开发的 40 节点上仅成功 1 个，加入后动作并集仍为 4/40，新增覆盖为零，按既有规则判定 NO-GO。拓扑变化没有自动扩展覆盖，不作为本文正贡献。</w:t>
      </w:r>
    </w:p>
    <w:p>
      <w:pPr>
        <w:pStyle w:val="Heading4"/>
      </w:pPr>
      <w:bookmarkStart w:id="58" w:name="剩余预算与多目标权衡"/>
      <w:r>
        <w:t xml:space="preserve">5.8.2 剩余预算与多目标权衡</w:t>
      </w:r>
      <w:bookmarkEnd w:id="58"/>
    </w:p>
    <w:p>
      <w:pPr>
        <w:pStyle w:val="FirstParagraph"/>
      </w:pPr>
      <w:r>
        <w:t xml:space="preserve">预算响应面使用 116 节点的已测动作开销，在 11×7 个 token／服务时间档位上回放。</w:t>
      </w:r>
    </w:p>
    <w:p>
      <w:pPr>
        <w:pStyle w:val="BodyText"/>
        <w:keepNext/>
        <w:spacing w:before="160"/>
      </w:pPr>
      <w:r>
        <w:t xml:space="preserve">表 5-10 四动作顺序策略的剩余预算响应</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token 预算</w:t>
            </w:r>
          </w:p>
        </w:tc>
        <w:tc>
          <w:tcPr>
            <w:tcW w:type="dxa" w:w="1701"/>
            <w:vAlign w:val="center"/>
            <w:shd w:fill="E8EDF2"/>
          </w:tcPr>
          <w:p>
            <w:pPr>
              <w:spacing w:after="60" w:before="60" w:line="240" w:lineRule="auto"/>
            </w:pPr>
            <w:r>
              <w:rPr>
                <w:rFonts w:eastAsia="Noto Sans CJK SC"/>
                <w:b/>
                <w:sz w:val="18"/>
              </w:rPr>
              <w:t>时间预算（秒）</w:t>
            </w:r>
          </w:p>
        </w:tc>
        <w:tc>
          <w:tcPr>
            <w:tcW w:type="dxa" w:w="2665"/>
            <w:vAlign w:val="center"/>
            <w:shd w:fill="E8EDF2"/>
          </w:tcPr>
          <w:p>
            <w:pPr>
              <w:spacing w:after="60" w:before="60" w:line="240" w:lineRule="auto"/>
            </w:pPr>
            <w:r>
              <w:rPr>
                <w:rFonts w:eastAsia="Noto Sans CJK SC"/>
                <w:b/>
                <w:sz w:val="18"/>
              </w:rPr>
              <w:t>恢复率</w:t>
            </w:r>
          </w:p>
        </w:tc>
        <w:tc>
          <w:tcPr>
            <w:tcW w:type="dxa" w:w="2891"/>
            <w:vAlign w:val="center"/>
            <w:shd w:fill="E8EDF2"/>
          </w:tcPr>
          <w:p>
            <w:pPr>
              <w:spacing w:after="60" w:before="60" w:line="240" w:lineRule="auto"/>
            </w:pPr>
            <w:r>
              <w:rPr>
                <w:rFonts w:eastAsia="Noto Sans CJK SC"/>
                <w:b/>
                <w:sz w:val="18"/>
              </w:rPr>
              <w:t>同预算动作 Oracle</w:t>
            </w:r>
          </w:p>
        </w:tc>
      </w:tr>
      <w:tr>
        <w:trPr>
          <w:cantSplit/>
        </w:trPr>
        <w:tc>
          <w:tcPr>
            <w:tcW w:type="dxa" w:w="2268"/>
            <w:vAlign w:val="center"/>
          </w:tcPr>
          <w:p>
            <w:pPr>
              <w:spacing w:after="60" w:before="60" w:line="240" w:lineRule="auto"/>
            </w:pPr>
            <w:r>
              <w:rPr>
                <w:rFonts w:eastAsia="Noto Sans CJK SC"/>
                <w:b w:val="0"/>
                <w:sz w:val="18"/>
              </w:rPr>
              <w:t>500</w:t>
            </w:r>
          </w:p>
        </w:tc>
        <w:tc>
          <w:tcPr>
            <w:tcW w:type="dxa" w:w="1701"/>
            <w:vAlign w:val="center"/>
          </w:tcPr>
          <w:p>
            <w:pPr>
              <w:spacing w:after="60" w:before="60" w:line="240" w:lineRule="auto"/>
            </w:pPr>
            <w:r>
              <w:rPr>
                <w:rFonts w:eastAsia="Noto Sans CJK SC"/>
                <w:b w:val="0"/>
                <w:sz w:val="18"/>
              </w:rPr>
              <w:t>1</w:t>
            </w:r>
          </w:p>
        </w:tc>
        <w:tc>
          <w:tcPr>
            <w:tcW w:type="dxa" w:w="2665"/>
            <w:vAlign w:val="center"/>
          </w:tcPr>
          <w:p>
            <w:pPr>
              <w:spacing w:after="60" w:before="60" w:line="240" w:lineRule="auto"/>
            </w:pPr>
            <w:r>
              <w:rPr>
                <w:rFonts w:eastAsia="Noto Sans CJK SC"/>
                <w:b w:val="0"/>
                <w:sz w:val="18"/>
              </w:rPr>
              <w:t>2.59%</w:t>
            </w:r>
          </w:p>
        </w:tc>
        <w:tc>
          <w:tcPr>
            <w:tcW w:type="dxa" w:w="2891"/>
            <w:vAlign w:val="center"/>
          </w:tcPr>
          <w:p>
            <w:pPr>
              <w:spacing w:after="60" w:before="60" w:line="240" w:lineRule="auto"/>
            </w:pPr>
            <w:r>
              <w:rPr>
                <w:rFonts w:eastAsia="Noto Sans CJK SC"/>
                <w:b w:val="0"/>
                <w:sz w:val="18"/>
              </w:rPr>
              <w:t>3.45%</w:t>
            </w:r>
          </w:p>
        </w:tc>
      </w:tr>
      <w:tr>
        <w:trPr>
          <w:cantSplit/>
        </w:trPr>
        <w:tc>
          <w:tcPr>
            <w:tcW w:type="dxa" w:w="2268"/>
            <w:vAlign w:val="center"/>
          </w:tcPr>
          <w:p>
            <w:pPr>
              <w:spacing w:after="60" w:before="60" w:line="240" w:lineRule="auto"/>
            </w:pPr>
            <w:r>
              <w:rPr>
                <w:rFonts w:eastAsia="Noto Sans CJK SC"/>
                <w:b w:val="0"/>
                <w:sz w:val="18"/>
              </w:rPr>
              <w:t>1,000</w:t>
            </w:r>
          </w:p>
        </w:tc>
        <w:tc>
          <w:tcPr>
            <w:tcW w:type="dxa" w:w="1701"/>
            <w:vAlign w:val="center"/>
          </w:tcPr>
          <w:p>
            <w:pPr>
              <w:spacing w:after="60" w:before="60" w:line="240" w:lineRule="auto"/>
            </w:pPr>
            <w:r>
              <w:rPr>
                <w:rFonts w:eastAsia="Noto Sans CJK SC"/>
                <w:b w:val="0"/>
                <w:sz w:val="18"/>
              </w:rPr>
              <w:t>2</w:t>
            </w:r>
          </w:p>
        </w:tc>
        <w:tc>
          <w:tcPr>
            <w:tcW w:type="dxa" w:w="2665"/>
            <w:vAlign w:val="center"/>
          </w:tcPr>
          <w:p>
            <w:pPr>
              <w:spacing w:after="60" w:before="60" w:line="240" w:lineRule="auto"/>
            </w:pPr>
            <w:r>
              <w:rPr>
                <w:rFonts w:eastAsia="Noto Sans CJK SC"/>
                <w:b w:val="0"/>
                <w:sz w:val="18"/>
              </w:rPr>
              <w:t>3.45%</w:t>
            </w:r>
          </w:p>
        </w:tc>
        <w:tc>
          <w:tcPr>
            <w:tcW w:type="dxa" w:w="2891"/>
            <w:vAlign w:val="center"/>
          </w:tcPr>
          <w:p>
            <w:pPr>
              <w:spacing w:after="60" w:before="60" w:line="240" w:lineRule="auto"/>
            </w:pPr>
            <w:r>
              <w:rPr>
                <w:rFonts w:eastAsia="Noto Sans CJK SC"/>
                <w:b w:val="0"/>
                <w:sz w:val="18"/>
              </w:rPr>
              <w:t>4.31%</w:t>
            </w:r>
          </w:p>
        </w:tc>
      </w:tr>
      <w:tr>
        <w:trPr>
          <w:cantSplit/>
        </w:trPr>
        <w:tc>
          <w:tcPr>
            <w:tcW w:type="dxa" w:w="2268"/>
            <w:vAlign w:val="center"/>
          </w:tcPr>
          <w:p>
            <w:pPr>
              <w:spacing w:after="60" w:before="60" w:line="240" w:lineRule="auto"/>
            </w:pPr>
            <w:r>
              <w:rPr>
                <w:rFonts w:eastAsia="Noto Sans CJK SC"/>
                <w:b w:val="0"/>
                <w:sz w:val="18"/>
              </w:rPr>
              <w:t>2,000</w:t>
            </w:r>
          </w:p>
        </w:tc>
        <w:tc>
          <w:tcPr>
            <w:tcW w:type="dxa" w:w="1701"/>
            <w:vAlign w:val="center"/>
          </w:tcPr>
          <w:p>
            <w:pPr>
              <w:spacing w:after="60" w:before="60" w:line="240" w:lineRule="auto"/>
            </w:pPr>
            <w:r>
              <w:rPr>
                <w:rFonts w:eastAsia="Noto Sans CJK SC"/>
                <w:b w:val="0"/>
                <w:sz w:val="18"/>
              </w:rPr>
              <w:t>3</w:t>
            </w:r>
          </w:p>
        </w:tc>
        <w:tc>
          <w:tcPr>
            <w:tcW w:type="dxa" w:w="2665"/>
            <w:vAlign w:val="center"/>
          </w:tcPr>
          <w:p>
            <w:pPr>
              <w:spacing w:after="60" w:before="60" w:line="240" w:lineRule="auto"/>
            </w:pPr>
            <w:r>
              <w:rPr>
                <w:rFonts w:eastAsia="Noto Sans CJK SC"/>
                <w:b w:val="0"/>
                <w:sz w:val="18"/>
              </w:rPr>
              <w:t>4.31%</w:t>
            </w:r>
          </w:p>
        </w:tc>
        <w:tc>
          <w:tcPr>
            <w:tcW w:type="dxa" w:w="2891"/>
            <w:vAlign w:val="center"/>
          </w:tcPr>
          <w:p>
            <w:pPr>
              <w:spacing w:after="60" w:before="60" w:line="240" w:lineRule="auto"/>
            </w:pPr>
            <w:r>
              <w:rPr>
                <w:rFonts w:eastAsia="Noto Sans CJK SC"/>
                <w:b w:val="0"/>
                <w:sz w:val="18"/>
              </w:rPr>
              <w:t>5.17%</w:t>
            </w:r>
          </w:p>
        </w:tc>
      </w:tr>
      <w:tr>
        <w:trPr>
          <w:cantSplit/>
        </w:trPr>
        <w:tc>
          <w:tcPr>
            <w:tcW w:type="dxa" w:w="2268"/>
            <w:vAlign w:val="center"/>
          </w:tcPr>
          <w:p>
            <w:pPr>
              <w:spacing w:after="60" w:before="60" w:line="240" w:lineRule="auto"/>
            </w:pPr>
            <w:r>
              <w:rPr>
                <w:rFonts w:eastAsia="Noto Sans CJK SC"/>
                <w:b w:val="0"/>
                <w:sz w:val="18"/>
              </w:rPr>
              <w:t>3,000</w:t>
            </w:r>
          </w:p>
        </w:tc>
        <w:tc>
          <w:tcPr>
            <w:tcW w:type="dxa" w:w="1701"/>
            <w:vAlign w:val="center"/>
          </w:tcPr>
          <w:p>
            <w:pPr>
              <w:spacing w:after="60" w:before="60" w:line="240" w:lineRule="auto"/>
            </w:pPr>
            <w:r>
              <w:rPr>
                <w:rFonts w:eastAsia="Noto Sans CJK SC"/>
                <w:b w:val="0"/>
                <w:sz w:val="18"/>
              </w:rPr>
              <w:t>3</w:t>
            </w:r>
          </w:p>
        </w:tc>
        <w:tc>
          <w:tcPr>
            <w:tcW w:type="dxa" w:w="2665"/>
            <w:vAlign w:val="center"/>
          </w:tcPr>
          <w:p>
            <w:pPr>
              <w:spacing w:after="60" w:before="60" w:line="240" w:lineRule="auto"/>
            </w:pPr>
            <w:r>
              <w:rPr>
                <w:rFonts w:eastAsia="Noto Sans CJK SC"/>
                <w:b w:val="0"/>
                <w:sz w:val="18"/>
              </w:rPr>
              <w:t>5.17%</w:t>
            </w:r>
          </w:p>
        </w:tc>
        <w:tc>
          <w:tcPr>
            <w:tcW w:type="dxa" w:w="2891"/>
            <w:vAlign w:val="center"/>
          </w:tcPr>
          <w:p>
            <w:pPr>
              <w:spacing w:after="60" w:before="60" w:line="240" w:lineRule="auto"/>
            </w:pPr>
            <w:r>
              <w:rPr>
                <w:rFonts w:eastAsia="Noto Sans CJK SC"/>
                <w:b w:val="0"/>
                <w:sz w:val="18"/>
              </w:rPr>
              <w:t>5.17%</w:t>
            </w:r>
          </w:p>
        </w:tc>
      </w:tr>
      <w:tr>
        <w:trPr>
          <w:cantSplit/>
        </w:trPr>
        <w:tc>
          <w:tcPr>
            <w:tcW w:type="dxa" w:w="2268"/>
            <w:vAlign w:val="center"/>
          </w:tcPr>
          <w:p>
            <w:pPr>
              <w:spacing w:after="60" w:before="60" w:line="240" w:lineRule="auto"/>
            </w:pPr>
            <w:r>
              <w:rPr>
                <w:rFonts w:eastAsia="Noto Sans CJK SC"/>
                <w:b w:val="0"/>
                <w:sz w:val="18"/>
              </w:rPr>
              <w:t>无上限</w:t>
            </w:r>
          </w:p>
        </w:tc>
        <w:tc>
          <w:tcPr>
            <w:tcW w:type="dxa" w:w="1701"/>
            <w:vAlign w:val="center"/>
          </w:tcPr>
          <w:p>
            <w:pPr>
              <w:spacing w:after="60" w:before="60" w:line="240" w:lineRule="auto"/>
            </w:pPr>
            <w:r>
              <w:rPr>
                <w:rFonts w:eastAsia="Noto Sans CJK SC"/>
                <w:b w:val="0"/>
                <w:sz w:val="18"/>
              </w:rPr>
              <w:t>无上限</w:t>
            </w:r>
          </w:p>
        </w:tc>
        <w:tc>
          <w:tcPr>
            <w:tcW w:type="dxa" w:w="2665"/>
            <w:vAlign w:val="center"/>
          </w:tcPr>
          <w:p>
            <w:pPr>
              <w:spacing w:after="60" w:before="60" w:line="240" w:lineRule="auto"/>
            </w:pPr>
            <w:r>
              <w:rPr>
                <w:rFonts w:eastAsia="Noto Sans CJK SC"/>
                <w:b w:val="0"/>
                <w:sz w:val="18"/>
              </w:rPr>
              <w:t>6.90%</w:t>
            </w:r>
          </w:p>
        </w:tc>
        <w:tc>
          <w:tcPr>
            <w:tcW w:type="dxa" w:w="2891"/>
            <w:vAlign w:val="center"/>
          </w:tcPr>
          <w:p>
            <w:pPr>
              <w:spacing w:after="60" w:before="60" w:line="240" w:lineRule="auto"/>
            </w:pPr>
            <w:r>
              <w:rPr>
                <w:rFonts w:eastAsia="Noto Sans CJK SC"/>
                <w:b w:val="0"/>
                <w:sz w:val="18"/>
              </w:rPr>
              <w:t>6.90%</w:t>
            </w:r>
          </w:p>
        </w:tc>
      </w:tr>
    </w:tbl>
    <w:p>
      <w:pPr>
        <w:pStyle w:val="BodyText"/>
      </w:pPr>
      <w:r>
        <w:t xml:space="preserve">紧预算限制昂贵动作，预算放宽增加可行覆盖，但最终仍止于固定动作并集。回放事先知道实际消耗，并用离线成功停止；零违反是可行性筛选的结果，不证明部署时具有准确时延预测。</w:t>
      </w:r>
    </w:p>
    <w:p>
      <w:pPr>
        <w:pStyle w:val="BodyText"/>
      </w:pPr>
      <w:r>
        <w:t xml:space="preserve">在九组合面板中，固定 large 抽取的三种推理组合成本约 4,430—4,436 tokens，服务时间约 5.08—5.19 秒，质量分别为 20.0%、18.0%、20.5%。正常预算下它们的资源差异较小，质量是主要区分轴；三点在记录均值上存在非支配权衡，不能据极小资源差异断言稳定优势。预算收紧后，资源项转为可行性条件。该观察限于当前组合与环境，不扩展为所有模型池的共同性质。</w:t>
      </w:r>
    </w:p>
    <w:p>
      <w:pPr>
        <w:pStyle w:val="Heading4"/>
      </w:pPr>
      <w:bookmarkStart w:id="59" w:name="证据改善为何不必然带来正确答案"/>
      <w:r>
        <w:t xml:space="preserve">5.8.3 证据改善为何不必然带来正确答案</w:t>
      </w:r>
      <w:bookmarkEnd w:id="59"/>
    </w:p>
    <w:p>
      <w:pPr>
        <w:pStyle w:val="FirstParagraph"/>
      </w:pPr>
      <w:r>
        <w:t xml:space="preserve">已有结构感知解析诊断关注原同模型链共同失败的开发子集。零调用审计（</w:t>
      </w:r>
      <w:r>
        <w:rPr>
          <w:rStyle w:val="VerbatimChar"/>
        </w:rPr>
        <w:t xml:space="preserve">EVIDENCE_DIAGNOSIS_AUDIT.json</w:t>
      </w:r>
      <w:r>
        <w:t xml:space="preserve">，含 commit 与全部输入哈希）给出其可复核边界：25 个结构推理应答全部可解析，按冻结评分器重打分 Q = 0/25，与保存的评分汇总一致；</w:t>
      </w:r>
      <w:r>
        <w:rPr>
          <w:b/>
        </w:rPr>
        <w:t xml:space="preserve">但</w:t>
      </w:r>
      <w:r>
        <w:rPr>
          <w:b/>
        </w:rPr>
        <w:t xml:space="preserve">“</w:t>
      </w:r>
      <w:r>
        <w:rPr>
          <w:b/>
        </w:rPr>
        <w:t xml:space="preserve">25 条记录均覆盖必要操作数</w:t>
      </w:r>
      <w:r>
        <w:rPr>
          <w:b/>
        </w:rPr>
        <w:t xml:space="preserve">”</w:t>
      </w:r>
      <w:r>
        <w:rPr>
          <w:b/>
        </w:rPr>
        <w:t xml:space="preserve">这一早期工件不可复现</w:t>
      </w:r>
      <w:r>
        <w:t xml:space="preserve">——以当前版本化代码重算，top-30 候选对 gold 操作数的覆盖为 0/25 任务、全量解析事实为 14/25（原生成代码未版本化，早期覆盖数字不具审计效力，不予引用）。可审计的结论因此收窄为：结构化解析未产生任何正确答案，且其</w:t>
      </w:r>
      <w:r>
        <w:t xml:space="preserve">“</w:t>
      </w:r>
      <w:r>
        <w:t xml:space="preserve">覆盖恢复</w:t>
      </w:r>
      <w:r>
        <w:t xml:space="preserve">”</w:t>
      </w:r>
      <w:r>
        <w:t xml:space="preserve">前提本身无法复核。</w:t>
      </w:r>
    </w:p>
    <w:p>
      <w:pPr>
        <w:pStyle w:val="BodyText"/>
      </w:pPr>
      <w:r>
        <w:t xml:space="preserve">对 D2—D4 变体：保存应答各 25/25 可解析，但配对输入未冻结，成功率不可重算，本文不报告任何来自会话记录的百分比；D0、D1 与 Dev-25 上的 gold-facts 臂没有已定位的冻结输出，相应口头数字（0%、4%）同样无审计工件支持。节点基准条件口径的 medium 推理 Q = 31% 属另一测量，不移植为该子集的成功率。作为补充，对 100 个 large 抽取→medium 推理失败任务上已冻结但此前未评分的证据重建调用进行首次评分：S0 基线／S1 重抽取／S2 跨模型／S3 定向缺失证据重建的 Q = 8%／8%／5%／8%，基线抽取操作数覆盖均值仅 35.4%——即使让模型主动检索缺失量并合并证据，成功率也不高于基线（探索性分析，非预注册）。</w:t>
      </w:r>
    </w:p>
    <w:p>
      <w:pPr>
        <w:pStyle w:val="BodyText"/>
      </w:pPr>
      <w:r>
        <w:t xml:space="preserve">结合固定动作覆盖与跨模型传播结果，可以保守判断：证据检索、选择与模型路由的进一步改善未在所分析困难样本上形成稳定恢复证据；当前模型及动作覆盖是主要剩余瓶颈之一。不能据此否定更强证据推理、工具或模型在未来扩大可解集合的可能。</w:t>
      </w:r>
    </w:p>
    <w:p>
      <w:pPr>
        <w:pStyle w:val="Heading4"/>
      </w:pPr>
      <w:bookmarkStart w:id="60" w:name="历史图复用的独立作用"/>
      <w:r>
        <w:t xml:space="preserve">5.8.4 历史图复用的独立作用</w:t>
      </w:r>
      <w:bookmarkEnd w:id="60"/>
    </w:p>
    <w:p>
      <w:pPr>
        <w:pStyle w:val="FirstParagraph"/>
      </w:pPr>
      <w:r>
        <w:t xml:space="preserve">图森林在 20 个修改型追问中复用 40 个抽取节点，新执行 40 次调用，相对 80 次逻辑重执行需求减少 50%，记录 token 减少 91.4%。19/20 个流程可以执行且结果响应修改，但验证器接受为 0/20，因此该结果证明特定多轮工作负载的复用与资源机制，不证明 95% 答案正确率。多轮复用不并入单轮动态正确率，图剪枝也不列为已验证贡献。</w:t>
      </w:r>
    </w:p>
    <w:p>
      <w:pPr>
        <w:pStyle w:val="Heading2"/>
      </w:pPr>
      <w:bookmarkStart w:id="61" w:name="讨论"/>
      <w:r>
        <w:t xml:space="preserve">6 讨论</w:t>
      </w:r>
      <w:bookmarkEnd w:id="61"/>
    </w:p>
    <w:p>
      <w:pPr>
        <w:pStyle w:val="Heading3"/>
      </w:pPr>
      <w:bookmarkStart w:id="62" w:name="条件能力与传播能力的区别"/>
      <w:r>
        <w:t xml:space="preserve">6.1 条件能力与传播能力的区别</w:t>
      </w:r>
      <w:bookmarkEnd w:id="62"/>
    </w:p>
    <w:p>
      <w:pPr>
        <w:pStyle w:val="FirstParagraph"/>
      </w:pPr>
      <w:r>
        <w:t xml:space="preserve">阶段评测揭示的是给定输入条件下的模型表现。条件化推理任务提供标准事实，使推理者主要承担关系识别与表达式构造；实际传播链则还要求上游正确识别数值、实体、期间与单位。即使推理模型本身不变，输入来源变化也会改变其可解任务集合。因此，条件节点 Oracle 是能力分析工具，不能直接作为完整执行的可达质量。</w:t>
      </w:r>
    </w:p>
    <w:p>
      <w:pPr>
        <w:pStyle w:val="BodyText"/>
      </w:pPr>
      <w:r>
        <w:t xml:space="preserve">跨模型矩阵为这一解释提供更直接的证据：固定 medium 或 coder 推理者，更换为 large 抽取后，最终质量提高。这说明同模型执行将不同阶段的强弱项绑定，可能使上游缺陷掩盖下游能力。DAG 的作用之一是使这种绑定可被打破。但现有矩阵尚不能识别输入质量变化的全部中介机制，也未证明每项组合差异均显著。尤其不能用不同任务集上的条件 Oracle 与传播 Oracle 之差，直接估计抽取噪声的因果效应。</w:t>
      </w:r>
    </w:p>
    <w:p>
      <w:pPr>
        <w:pStyle w:val="Heading3"/>
      </w:pPr>
      <w:bookmarkStart w:id="63" w:name="单模型可预测性不等于最优模型可路由性"/>
      <w:r>
        <w:t xml:space="preserve">6.2 单模型可预测性不等于最优模型可路由性</w:t>
      </w:r>
      <w:bookmarkEnd w:id="63"/>
    </w:p>
    <w:p>
      <w:pPr>
        <w:pStyle w:val="FirstParagraph"/>
      </w:pPr>
      <w:r>
        <w:t xml:space="preserve">单模型成功预测与相对模型选择具有不同目标。前者要求区分该模型容易或困难的任务，后者要求在模型意见不一致的少量任务上识别谁更好。多个模型可能同时在简单任务成功、在复杂任务失败；这会为单模型分类器提供明显信号，却不给模型切换提供收益。</w:t>
      </w:r>
    </w:p>
    <w:p>
      <w:pPr>
        <w:pStyle w:val="BodyText"/>
      </w:pPr>
      <w:r>
        <w:t xml:space="preserve">900 题画像中较高的成功预测 AUC 与未超过类型先验的路由质量并存，正体现了这一差别。AUC 对跨任务排序敏感，而路由收益还取决于同任务候选差异、评分可比性及切换错误的代价。类型先验与完整节点路由在独立节点确认面板上质量相同，也提示当前可稳定利用的结构主要是阶段差异，而不是细粒度实例表示。本文因此将贡献定位为阶段化分配及其执行接口，不把预测头的复杂程度或表示学习能力作为已获证明的优势。</w:t>
      </w:r>
    </w:p>
    <w:p>
      <w:pPr>
        <w:pStyle w:val="Heading3"/>
      </w:pPr>
      <w:bookmarkStart w:id="64" w:name="选择性干预的作用与边界"/>
      <w:r>
        <w:t xml:space="preserve">6.3 选择性干预的作用与边界</w:t>
      </w:r>
      <w:bookmarkEnd w:id="64"/>
    </w:p>
    <w:p>
      <w:pPr>
        <w:pStyle w:val="FirstParagraph"/>
      </w:pPr>
      <w:r>
        <w:t xml:space="preserve">强默认策略会使替代机会呈现不对称性：只有默认失败且替代者成功时覆盖才带来帮助，而覆盖默认已经正确的输出可能产生损害。限制干预范围有助于控制这种风险，但低覆盖率本身不是可靠性的充分条件；如果评分不能识别相对优势，少量切换也可能净损害。</w:t>
      </w:r>
    </w:p>
    <w:p>
      <w:pPr>
        <w:pStyle w:val="BodyText"/>
      </w:pPr>
      <w:r>
        <w:t xml:space="preserve">Conf-200 的正向信号没有在 Conf-500 上复现，表明当前选择器尚未稳定识别可覆盖机会。合并开发语料上的风险—覆盖率曲线进一步显示，扩大干预范围会引入更多 Harm，但该曲线不能为未来数据指定一个已验证的安全阈值。二者共同支持保守选择的设计动机，同时保留剩余差距仍可能被更可靠特征和校准方法利用的可能性。</w:t>
      </w:r>
    </w:p>
    <w:p>
      <w:pPr>
        <w:pStyle w:val="BodyText"/>
      </w:pPr>
      <w:r>
        <w:t xml:space="preserve">动态适应的价值随 DAG 结构深度显现。两节点链面板（48 与 250 任务）上动态第二版只给出方向一致但不显著的小幅正信号；而在含分支与汇合的四节点真实 DAG 上，同一族冻结适应规则带来 +20.0pp 的显著提升（CI 不含零，McNemar p≈1.9×10⁻⁵），且 933 次适配调用全部限于失败节点及其后代闭包、分支隔离零违例、预算违规为零。两个信息合起来读：</w:t>
      </w:r>
      <w:r>
        <w:rPr>
          <w:b/>
        </w:rPr>
        <w:t xml:space="preserve">选择性与预算约束下的动态适应，其收益与</w:t>
      </w:r>
      <w:r>
        <w:rPr>
          <w:b/>
        </w:rPr>
        <w:t xml:space="preserve">“</w:t>
      </w:r>
      <w:r>
        <w:rPr>
          <w:b/>
        </w:rPr>
        <w:t xml:space="preserve">失败能够局部化、受影响后代确实存在可利用替代</w:t>
      </w:r>
      <w:r>
        <w:rPr>
          <w:b/>
        </w:rPr>
        <w:t xml:space="preserve">”</w:t>
      </w:r>
      <w:r>
        <w:rPr>
          <w:b/>
        </w:rPr>
        <w:t xml:space="preserve">的结构条件成正比</w:t>
      </w:r>
      <w:r>
        <w:t xml:space="preserve">——两节点链上可局部化的失败太少，四节点 DAG 上失败可以在分支、汇合与尾节点三个层面被选择性吸收。两臂对照消融进一步把归因说清：把静态对照的恢复目标同样换成升级 large，即可获得 +18.3pp（35.0%），策略逻辑超出目标选择的贡献仅 +1.7pp（不显著）——该面板的主要质量增益来自</w:t>
      </w:r>
      <w:r>
        <w:t xml:space="preserve">“</w:t>
      </w:r>
      <w:r>
        <w:t xml:space="preserve">失败节点升级至最强未试模型</w:t>
      </w:r>
      <w:r>
        <w:t xml:space="preserve">”</w:t>
      </w:r>
      <w:r>
        <w:t xml:space="preserve">这一动作；动态框架的可确证价值在于以选择性更新、预算约束与审计纪律安全地承载它。同时，把失败检测全部替换为部署可得信号后增益保留 91.7%，说明该收益不依赖 gold 失败信号，但部分依赖尾节点一致性检查在本面板近乎全触发的退化特性。因此动态适应的价值仍应表述为对后继决策范围的控制证据与 harm 控制，而非普适的质量保证：结论限于单一任务域。</w:t>
      </w:r>
    </w:p>
    <w:p>
      <w:pPr>
        <w:pStyle w:val="Heading3"/>
      </w:pPr>
      <w:bookmarkStart w:id="65" w:name="能力覆盖与动作选择的不同上限"/>
      <w:r>
        <w:t xml:space="preserve">6.4 能力覆盖与动作选择的不同上限</w:t>
      </w:r>
      <w:bookmarkEnd w:id="65"/>
    </w:p>
    <w:p>
      <w:pPr>
        <w:pStyle w:val="FirstParagraph"/>
      </w:pPr>
      <w:r>
        <w:t xml:space="preserve">路由只能在候选执行结果之间选择。对于给定模型、提示、输入与动作集合，如果所有候选都失败，改进选择本身不能产生其中不存在的正确答案。这是固定候选集合的上限，不是对整个任务可解性的判断：更强模型、不同工具或新的输入表达仍可能改变候选集合。</w:t>
      </w:r>
    </w:p>
    <w:p>
      <w:pPr>
        <w:pStyle w:val="BodyText"/>
      </w:pPr>
      <w:r>
        <w:t xml:space="preserve">真实失败集合中四个动作的成功并集较小，局部重规划也没有新增覆盖，因而当前剩余限制不能简单归因于动作选得不够好。结构解析诊断还提示，找到数值并不等于理解其关系。必要操作数出现在候选证据中，仍可能伴随实体绑定、期间对齐和表达式构造错误。该困难子集的证据支持把模型与动作覆盖列为主要瓶颈之一，但不足以断言所有任务只受推理能力限制。完整标准事实诊断的配对来源尚未核实，其缺失也限制了对纯推理失败比例的进一步量化。</w:t>
      </w:r>
    </w:p>
    <w:p>
      <w:pPr>
        <w:pStyle w:val="Heading3"/>
      </w:pPr>
      <w:bookmarkStart w:id="66" w:name="资源约束与历史复用的作用层次"/>
      <w:r>
        <w:t xml:space="preserve">6.5 资源约束与历史复用的作用层次</w:t>
      </w:r>
      <w:bookmarkEnd w:id="66"/>
    </w:p>
    <w:p>
      <w:pPr>
        <w:pStyle w:val="FirstParagraph"/>
      </w:pPr>
      <w:r>
        <w:t xml:space="preserve">当前跨模型组合的平均资源开销接近，质量构成正常预算下的重要区分轴。这一事实不削弱资源约束的必要性：当剩余预算减少，额外调用是否可行会直接改变可恢复集合。预算响应面因此回答</w:t>
      </w:r>
      <w:r>
        <w:t xml:space="preserve">“</w:t>
      </w:r>
      <w:r>
        <w:t xml:space="preserve">已观测动作在给定预算内覆盖多少失败</w:t>
      </w:r>
      <w:r>
        <w:t xml:space="preserve">”</w:t>
      </w:r>
      <w:r>
        <w:t xml:space="preserve">，而不回答</w:t>
      </w:r>
      <w:r>
        <w:t xml:space="preserve">“</w:t>
      </w:r>
      <w:r>
        <w:t xml:space="preserve">系统能否准确预测线上开销并保证不超时</w:t>
      </w:r>
      <w:r>
        <w:t xml:space="preserve">”</w:t>
      </w:r>
      <w:r>
        <w:t xml:space="preserve">。两者需要不同证据。</w:t>
      </w:r>
    </w:p>
    <w:p>
      <w:pPr>
        <w:pStyle w:val="BodyText"/>
      </w:pPr>
      <w:r>
        <w:t xml:space="preserve">历史图复用解决另一类冗余，即相关追问重复处理未变化输入。它可以减少调用和 tokens，但不能自动纠正被复用的错误。当前图森林结果证明了特定修改型工作负载的局部重算机制，尚未证明多轮最终答案质量。把这类节省与单轮动态质量分开报告，有助于避免用资源指标替代正确性，也避免把缓存复用当作推理能力提升。</w:t>
      </w:r>
    </w:p>
    <w:p>
      <w:pPr>
        <w:pStyle w:val="Heading3"/>
      </w:pPr>
      <w:bookmarkStart w:id="67" w:name="有效性限制"/>
      <w:r>
        <w:t xml:space="preserve">6.6 有效性限制</w:t>
      </w:r>
      <w:bookmarkEnd w:id="67"/>
    </w:p>
    <w:p>
      <w:pPr>
        <w:pStyle w:val="FirstParagraph"/>
      </w:pPr>
      <w:r>
        <w:t xml:space="preserve">本文的上界、动态结果与诊断均有明确适用范围。第一，精确 Oracle 仅覆盖九种已枚举模型组合，完整动态策略空间没有求得全局最优。第二，动态真实调用实验规模有限，已用于开发分析，且失败检测读取评价答案，不能作为无理想反馈条件的在线验证。第三，条件节点、同模型传播、跨模型组合及失败恢复使用不同任务面板与估计对象，质量不可直接拼接。</w:t>
      </w:r>
    </w:p>
    <w:p>
      <w:pPr>
        <w:pStyle w:val="BodyText"/>
      </w:pPr>
      <w:r>
        <w:t xml:space="preserve">第四，当前模型池存在大量共同失败，且成本和服务时间的异质性有限，结果未必迁移到能力跨度更大的模型池或不同硬件。第五，剩余差距路由的确认收益不稳定，合并语料后的交叉验证只提供事后机制解释。第六，困难子集的恢复与证据诊断存在选择偏差，部分历史结果缺少完整配对记录。第七，服务时间不包含全部启动、排队与调度开销，tokens 也不等同于货币成本。以上限制共同决定本文证据更适合支持阶段互补、执行边界与选择性适应的分析，而非宣称一个在所有复杂任务上全面占优的系统。</w:t>
      </w:r>
    </w:p>
    <w:p>
      <w:pPr>
        <w:pStyle w:val="Heading2"/>
      </w:pPr>
      <w:bookmarkStart w:id="68" w:name="结论"/>
      <w:r>
        <w:t xml:space="preserve">7 结论</w:t>
      </w:r>
      <w:bookmarkEnd w:id="68"/>
    </w:p>
    <w:p>
      <w:pPr>
        <w:pStyle w:val="FirstParagraph"/>
      </w:pPr>
      <w:r>
        <w:t xml:space="preserve">本文研究复杂任务中的异构大模型协同执行，提出反馈感知的自适应 DAG 路由框架，以能力画像支持节点级分配，以反馈条件化的后继适应连接静态执行与动态调整，并通过剩余预算控制和历史图复用约束额外开销。动态适应不以修改拓扑为必要条件；模型重新分配、受影响后继更新与有限恢复均属于其执行范围。</w:t>
      </w:r>
    </w:p>
    <w:p>
      <w:pPr>
        <w:pStyle w:val="BodyText"/>
      </w:pPr>
      <w:r>
        <w:t xml:space="preserve">实验支持阶段级互补真实存在：冻结节点路由相对查询路由提高约 6.9 个百分点，主要增益可由类型先验解释。跨模型传播进一步表明，上游来源能够改变下游能力的表现，独立分配阶段模型可以解除同模型链的能力绑定。然而，单模型成功的可预测性没有转化为稳定的剩余差距路由收益，较大确认集也未复现较小确认集的正向信号。动态适应的价值在两节点链与多节点 DAG 上呈现梯度：两节点链上为方向一致但未确证的小幅正信号（48 任务 +2.1pp、250 任务冻结确认 +2.8pp，CI 均覆盖零）；在含分支与汇合的四节点真实 DAG 上，选择性动态适应显著优于静态执行（+20.0pp，CI 不含零，Help/Harm 28/4），933 次适配调用全部限于受影响后代、分支隔离零违例、预算违规为零。消融归因表明主要增益来自失败节点升级至最强未试模型的动作（同目标静态对照已达 35.0%），部署可得的解析/执行与一致性检测可保留其中 91.7%——动态收益不依赖理想失败检测，其框架价值在于安全、选择性且可审计地承载该动作；结论仍限于单域面板。</w:t>
      </w:r>
    </w:p>
    <w:p>
      <w:pPr>
        <w:pStyle w:val="BodyText"/>
      </w:pPr>
      <w:r>
        <w:t xml:space="preserve">多模型协同的关键是识别不同执行阶段的能力互补，并在可靠证据和资源约束下进行选择性的节点分配与动态调整。与此同时，模型池及动作集合必须包含可利用的正确候选；困难共同失败任务上的选择优化，不能替代能力覆盖的扩展。</w:t>
      </w:r>
    </w:p>
    <w:p>
      <w:pPr>
        <w:pStyle w:val="BodyText"/>
      </w:pPr>
      <w:r>
        <w:t xml:space="preserve">这些结论受限于枚举的 3×3 组合空间、尚未优化的完整动态策略空间、大量共同失败、有限的成本与时延异质性、不稳定的剩余路由泛化，以及困难子集上较低的恢复覆盖。未来可研究更强且更异质的模型、扩展现有确定性执行器的符号与程序能力、更丰富的工具支持和证据推理、更可靠的选择性覆盖，以及更大动态策略空间中的近似最优决策。这些方向不属于本文已经完成并验证的机制。</w:t>
      </w:r>
    </w:p>
    <w:p>
      <w:pPr>
        <w:pStyle w:val="Heading2"/>
      </w:pPr>
      <w:bookmarkStart w:id="69" w:name="参考文献"/>
      <w:r>
        <w:t xml:space="preserve">参考文献</w:t>
      </w:r>
      <w:bookmarkEnd w:id="69"/>
    </w:p>
    <w:p>
      <w:pPr>
        <w:pStyle w:val="FirstParagraph"/>
      </w:pPr>
      <w:r>
        <w:t xml:space="preserve">[1] Ong, I., et al. RouteLLM: Learning to Route LLMs with Preference Data. 2024. arXiv:2406.18665.</w:t>
      </w:r>
      <w:r>
        <w:t xml:space="preserve"> </w:t>
      </w:r>
      <w:hyperlink r:id="rId70">
        <w:r>
          <w:rPr>
            <w:rStyle w:val="Hyperlink"/>
          </w:rPr>
          <w:t xml:space="preserve">原文</w:t>
        </w:r>
      </w:hyperlink>
      <w:r>
        <w:t xml:space="preserve">.</w:t>
      </w:r>
    </w:p>
    <w:p>
      <w:pPr>
        <w:pStyle w:val="BodyText"/>
      </w:pPr>
      <w:r>
        <w:t xml:space="preserve">[2] Chen, L., Zaharia, M., and Zou, J. FrugalGPT: How to Use Large Language Models While Reducing Cost and Improving Performance. 2023. arXiv:2305.05176.</w:t>
      </w:r>
      <w:r>
        <w:t xml:space="preserve"> </w:t>
      </w:r>
      <w:hyperlink r:id="rId71">
        <w:r>
          <w:rPr>
            <w:rStyle w:val="Hyperlink"/>
          </w:rPr>
          <w:t xml:space="preserve">原文</w:t>
        </w:r>
      </w:hyperlink>
      <w:r>
        <w:t xml:space="preserve">.</w:t>
      </w:r>
    </w:p>
    <w:p>
      <w:pPr>
        <w:pStyle w:val="BodyText"/>
      </w:pPr>
      <w:r>
        <w:t xml:space="preserve">[3] Kim, S., et al. An LLM Compiler for Parallel Function Calling. 2024 年修订版，arXiv:2312.04511v3.</w:t>
      </w:r>
      <w:r>
        <w:t xml:space="preserve"> </w:t>
      </w:r>
      <w:hyperlink r:id="rId72">
        <w:r>
          <w:rPr>
            <w:rStyle w:val="Hyperlink"/>
          </w:rPr>
          <w:t xml:space="preserve">原文</w:t>
        </w:r>
      </w:hyperlink>
      <w:r>
        <w:t xml:space="preserve">.</w:t>
      </w:r>
    </w:p>
    <w:p>
      <w:pPr>
        <w:pStyle w:val="BodyText"/>
      </w:pPr>
      <w:r>
        <w:t xml:space="preserve">[4] Madaan, A., et al. Self-Refine: Iterative Refinement with Self-Feedback. 2023. arXiv:2303.17651.</w:t>
      </w:r>
      <w:r>
        <w:t xml:space="preserve"> </w:t>
      </w:r>
      <w:hyperlink r:id="rId73">
        <w:r>
          <w:rPr>
            <w:rStyle w:val="Hyperlink"/>
          </w:rPr>
          <w:t xml:space="preserve">原文</w:t>
        </w:r>
      </w:hyperlink>
      <w:r>
        <w:t xml:space="preserve">.</w:t>
      </w:r>
    </w:p>
    <w:p>
      <w:pPr>
        <w:pStyle w:val="BodyText"/>
      </w:pPr>
      <w:r>
        <w:t xml:space="preserve">[5] Wang, Z. Z., Mao, J., Fried, D., and Neubig, G. Agent Workflow Memory. 2024. arXiv:2409.07429.</w:t>
      </w:r>
      <w:r>
        <w:t xml:space="preserve"> </w:t>
      </w:r>
      <w:hyperlink r:id="rId74">
        <w:r>
          <w:rPr>
            <w:rStyle w:val="Hyperlink"/>
          </w:rPr>
          <w:t xml:space="preserve">原文</w:t>
        </w:r>
      </w:hyperlink>
      <w:r>
        <w:t xml:space="preserve">.</w:t>
      </w:r>
    </w:p>
    <w:p>
      <w:pPr>
        <w:pStyle w:val="BodyText"/>
      </w:pPr>
      <w:r>
        <w:t xml:space="preserve">[6] MultiHiertt: Numerical Reasoning over Multi Hierarchical Tabular and Textual Data. ACL 2022.</w:t>
      </w:r>
      <w:r>
        <w:t xml:space="preserve"> </w:t>
      </w:r>
      <w:hyperlink r:id="rId75">
        <w:r>
          <w:rPr>
            <w:rStyle w:val="Hyperlink"/>
          </w:rPr>
          <w:t xml:space="preserve">正式论文页面</w:t>
        </w:r>
      </w:hyperlink>
      <w:r>
        <w:t xml:space="preserve">.</w:t>
      </w:r>
    </w:p>
    <w:p>
      <w:pPr>
        <w:pStyle w:val="BodyText"/>
      </w:pPr>
      <w:r>
        <w:t xml:space="preserve">[7] TAT-QA: A Question Answering Benchmark on a Hybrid of Tabular and Textual Content in Finance. ACL-IJCNLP 2021.</w:t>
      </w:r>
      <w:r>
        <w:t xml:space="preserve"> </w:t>
      </w:r>
      <w:hyperlink r:id="rId76">
        <w:r>
          <w:rPr>
            <w:rStyle w:val="Hyperlink"/>
          </w:rPr>
          <w:t xml:space="preserve">正式论文页面</w:t>
        </w:r>
      </w:hyperlink>
      <w:r>
        <w:t xml:space="preserve">.</w:t>
      </w:r>
    </w:p>
    <w:sectPr w:rsidR="00FC693F" w:rsidRPr="0006063C" w:rsidSect="00034616">
      <w:footerReference w:type="default" r:id="rId9"/>
      <w:pgSz w:w="11906" w:h="16838"/>
      <w:pgMar w:top="1247" w:right="1191" w:bottom="1247" w:left="119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erif" w:hAnsi="Liberation Serif"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Liberation Serif" w:hAnsi="Liberation Serif"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Liberation Serif" w:hAnsi="Liberation Serif" w:eastAsia="Noto Sans CJK S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288" w:lineRule="auto"/>
      <w:outlineLvl w:val="2"/>
    </w:pPr>
    <w:rPr>
      <w:rFonts w:asciiTheme="majorHAnsi" w:eastAsiaTheme="majorEastAsia" w:hAnsiTheme="majorHAnsi" w:cstheme="majorBidi" w:ascii="Liberation Serif" w:hAnsi="Liberation Serif"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20" w:line="288" w:lineRule="auto"/>
      <w:outlineLvl w:val="3"/>
    </w:pPr>
    <w:rPr>
      <w:rFonts w:asciiTheme="majorHAnsi" w:eastAsiaTheme="majorEastAsia" w:hAnsiTheme="majorHAnsi" w:cstheme="majorBidi" w:ascii="Liberation Serif" w:hAnsi="Liberation Serif"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contextualSpacing/>
    </w:pPr>
    <w:rPr>
      <w:rFonts w:asciiTheme="majorHAnsi" w:eastAsiaTheme="majorEastAsia" w:hAnsiTheme="majorHAnsi" w:cstheme="majorBidi" w:ascii="Liberation Serif" w:hAnsi="Liberation Serif" w:eastAsia="Noto Sans CJK SC"/>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Liberation Serif" w:hAnsi="Liberation Serif"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20"/>
    </w:pPr>
    <w:rPr>
      <w:rFonts w:ascii="Liberation Serif" w:hAnsi="Liberation Serif"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hyperlink" Target="https://aclanthology.org/2021.acl-long.254/" TargetMode="External"/><Relationship Id="rId75" Type="http://schemas.openxmlformats.org/officeDocument/2006/relationships/hyperlink" Target="https://aclanthology.org/2022.acl-long.454/" TargetMode="External"/><Relationship Id="rId73" Type="http://schemas.openxmlformats.org/officeDocument/2006/relationships/hyperlink" Target="https://arxiv.org/abs/2303.17651" TargetMode="External"/><Relationship Id="rId71" Type="http://schemas.openxmlformats.org/officeDocument/2006/relationships/hyperlink" Target="https://arxiv.org/abs/2305.05176" TargetMode="External"/><Relationship Id="rId70" Type="http://schemas.openxmlformats.org/officeDocument/2006/relationships/hyperlink" Target="https://arxiv.org/abs/2406.18665" TargetMode="External"/><Relationship Id="rId74" Type="http://schemas.openxmlformats.org/officeDocument/2006/relationships/hyperlink" Target="https://arxiv.org/abs/2409.07429" TargetMode="External"/><Relationship Id="rId72" Type="http://schemas.openxmlformats.org/officeDocument/2006/relationships/hyperlink" Target="https://arxiv.org/html/2312.04511v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6" Type="http://schemas.openxmlformats.org/officeDocument/2006/relationships/hyperlink" Target="https://aclanthology.org/2021.acl-long.254/" TargetMode="External"/><Relationship Id="rId75" Type="http://schemas.openxmlformats.org/officeDocument/2006/relationships/hyperlink" Target="https://aclanthology.org/2022.acl-long.454/" TargetMode="External"/><Relationship Id="rId73" Type="http://schemas.openxmlformats.org/officeDocument/2006/relationships/hyperlink" Target="https://arxiv.org/abs/2303.17651" TargetMode="External"/><Relationship Id="rId71" Type="http://schemas.openxmlformats.org/officeDocument/2006/relationships/hyperlink" Target="https://arxiv.org/abs/2305.05176" TargetMode="External"/><Relationship Id="rId70" Type="http://schemas.openxmlformats.org/officeDocument/2006/relationships/hyperlink" Target="https://arxiv.org/abs/2406.18665" TargetMode="External"/><Relationship Id="rId74" Type="http://schemas.openxmlformats.org/officeDocument/2006/relationships/hyperlink" Target="https://arxiv.org/abs/2409.07429" TargetMode="External"/><Relationship Id="rId72" Type="http://schemas.openxmlformats.org/officeDocument/2006/relationships/hyperlink" Target="https://arxiv.org/html/2312.04511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面向复杂任务的反馈感知多模型自适应有向无环图路由</dc:title>
  <dc:creator/>
  <cp:keywords/>
  <dcterms:created xsi:type="dcterms:W3CDTF">2026-09-21T07:44:04Z</dcterms:created>
  <dcterms:modified xsi:type="dcterms:W3CDTF">2026-09-21T07:44:04Z</dcterms:modified>
  <dc:subject>2026-09-21 最终论文整合</dc:subject>
</cp:coreProperties>
</file>

<file path=docProps/custom.xml><?xml version="1.0" encoding="utf-8"?>
<Properties xmlns="http://schemas.openxmlformats.org/officeDocument/2006/custom-properties" xmlns:vt="http://schemas.openxmlformats.org/officeDocument/2006/docPropsVTypes"/>
</file>