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个百分点，主要收益来自阶段粒度；跨模型传播显示，上游输入来源能够改变下游优势，条件能力不能直接等同于传播能力。在枚举的 3×3 抽取—推理模型组合空间内，精确 Oracle 为 30.5%，最佳固定组合为 20.5%，但剩余差距未被当前选择器稳定利用。理想失败检测条件下的 48 任务真实调用比较中，动态第二版由静态的 52.1% 提高至 54.2%，差异不显著；在 250 个全新任务上的一次性冻结确认中该效应方向复现（+2.8pp，95% CI [−0.8,+6.4]），仍未达统计显著。而在含分支与汇合的四节点真实 DAG 面板上，选择性动态适应显著优于静态执行（36.7% 对 16.7%，+20.0pp，95% CI [11.7,28.3]，Help/Harm 28/4），且 933 次适配调用全部限于受影响后代闭包、分支隔离检查零违例、预算违规为零——动态 DAG 的价值在多节点结构下首次得到显著验证。对照消融显示增益主要来自失败节点升级至最强未试模型的动作（同目标静态对照 35.0%），而将失败检测全部换成部署可得信号（解析/执行与输出一致性检查，无 gold 参考）仍保留 91.7% 的增益（35.0%）——动态收益不依赖理想失败检测。确认实验与开发层风险—覆盖率分析共同提示，限制无充分依据的切换有助于控制损害，但不能保证泛化收益；困难子集上较低的动作成功并集则揭示模型与动作覆盖的重要限制。研究支持在明确输入条件、反馈边界及资源口径的前提下，进行选择性的阶段级模型协同。</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级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互补；随后考察实际输入传播如何改变可用能力；再通过跨模型组合和有限空间的精确事后上界定位剩余机会；最后检验选择性路由、动态恢复和预算约束能否利用这些机会。模型成功预测具有信号，并不意味着实例级最佳模型能够稳定预测；存在正 Oracle 差距，也不意味着该差距可以由当前表示与监督充分恢复。</w:t>
      </w:r>
    </w:p>
    <w:p>
      <w:pPr>
        <w:pStyle w:val="Heading3"/>
      </w:pPr>
      <w:bookmarkStart w:id="25" w:name="贡献"/>
      <w:r>
        <w:t xml:space="preserve">1.3 贡献</w:t>
      </w:r>
      <w:bookmarkEnd w:id="25"/>
    </w:p>
    <w:p>
      <w:pPr>
        <w:pStyle w:val="FirstParagraph"/>
      </w:pPr>
      <w:r>
        <w:t xml:space="preserve">第一，建立能力画像与 DAG 节点级异构模型分配的统一接口，并区分条件能力与传播能力。在冻结节点确认面板中，节点路由相对查询路由提高约 6.9 个百分点；类型先验取得相同平均质量，表明主要增益来自路由粒度。跨模型传播实验进一步展示，将抽取者与推理者独立分配可以利用同模型链中被掩盖的阶段优势。</w:t>
      </w:r>
    </w:p>
    <w:p>
      <w:pPr>
        <w:pStyle w:val="BodyText"/>
      </w:pPr>
      <w:r>
        <w:t xml:space="preserve">第二，构建静态／动态双模式执行及选择性反馈调整。动态第二版在已分析的 48 任务真实调用面板上呈现正向但不显著的质量变化，并减少观察到的有害调整。该结果支持对反馈调度稳定性的有限判断，不构成普遍安全性保证；实验采用理想失败检测，其部署边界在方法与实验中明确披露。</w:t>
      </w:r>
    </w:p>
    <w:p>
      <w:pPr>
        <w:pStyle w:val="BodyText"/>
      </w:pPr>
      <w:r>
        <w:t xml:space="preserve">第三，通过有限 3×3 组合空间的精确 Oracle、剩余差距路由、风险—覆盖率、恢复矩阵与证据诊断，系统分析可利用机会和能力边界。较小确认集中的正向选择信号未在更大确认集复现；固定恢复集合仅覆盖少量真实失败。结果说明，进一步优化调度既需要可靠选择信号，也需要模型与动作集合中实际存在正确候选。</w:t>
      </w:r>
    </w:p>
    <w:p>
      <w:pPr>
        <w:pStyle w:val="Heading3"/>
      </w:pPr>
      <w:bookmarkStart w:id="26" w:name="论文组织"/>
      <w:r>
        <w:t xml:space="preserve">1.4 论文组织</w:t>
      </w:r>
      <w:bookmarkEnd w:id="26"/>
    </w:p>
    <w:p>
      <w:pPr>
        <w:pStyle w:val="FirstParagraph"/>
      </w:pPr>
      <w:r>
        <w:t xml:space="preserve">第 2 章比较模型路由、依赖执行、反馈与历史复用研究。第 3 章给出能力画像、节点分配、选择性动态执行与资源决策方法。第 4 章区分数据面板、信息条件和统计口径。第 5 章围绕八个研究问题组织结果，第 6 章解释条件能力、可路由性和能力覆盖之间的联系，第 7 章总结适用范围与后续方向。</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任务分解能够暴露中间接口，也增加接口错误和证据遗漏的机会。本文的严格配对三臂基准显示：同模型拆分本身在 TAT-QA 上显著有害（−21.0pp）、在 MultiHiertt 上不显著（+6.0pp），而拆分后把推理阶段换为更合适模型带来总体 +5.0pp 显著增益——分解的价值是打开阶段分配接口，而非普遍提高推理，因此不应预设分解必然改善。</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DAG→静态／动态执行→选择性调整→预算控制→历史图复用。该顺序描述逻辑依赖：控制器在图构造前获得任务需求与资源偏好，具体节点分配在节点定义后完成，不另引入未实现的路由网络。</w:t>
      </w:r>
    </w:p>
    <w:p>
      <w:pPr>
        <w:pStyle w:val="Heading3"/>
      </w:pPr>
      <w:bookmarkStart w:id="34" w:name="模型能力画像"/>
      <w:r>
        <w:t xml:space="preserve">3.2 模型能力画像</w:t>
      </w:r>
      <w:bookmarkEnd w:id="34"/>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5" w:name="复杂任务分解与初始依赖图"/>
      <w:r>
        <w:t xml:space="preserve">3.3 复杂任务分解与初始依赖图</w:t>
      </w:r>
      <w:bookmarkEnd w:id="35"/>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6" w:name="能力感知节点路由"/>
      <w:r>
        <w:t xml:space="preserve">3.4 能力感知节点路由</w:t>
      </w:r>
      <w:bookmarkEnd w:id="36"/>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7" w:name="静态依赖图执行"/>
      <w:r>
        <w:t xml:space="preserve">3.5 静态依赖图执行</w:t>
      </w:r>
      <w:bookmarkEnd w:id="37"/>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8" w:name="动态依赖图调整"/>
      <w:r>
        <w:t xml:space="preserve">3.6 动态依赖图调整</w:t>
      </w:r>
      <w:bookmarkEnd w:id="38"/>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任务动态试验通过评价答案触发推理回退并更新失败计数，属于理想失败检测条件下的真实调用。本文以此评价给定可靠判定后的调度行为，不声称已完成无标准答案的在线闭环验证。</w:t>
      </w:r>
    </w:p>
    <w:p>
      <w:pPr>
        <w:pStyle w:val="Heading3"/>
      </w:pPr>
      <w:bookmarkStart w:id="39" w:name="选择性调整"/>
      <w:r>
        <w:t xml:space="preserve">3.7 选择性调整</w:t>
      </w:r>
      <w:bookmarkEnd w:id="39"/>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0" w:name="预算感知恢复"/>
      <w:r>
        <w:t xml:space="preserve">3.8 预算感知恢复</w:t>
      </w:r>
      <w:bookmarkEnd w:id="40"/>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1" w:name="历史任务图复用"/>
      <w:r>
        <w:t xml:space="preserve">3.9 历史任务图复用</w:t>
      </w:r>
      <w:bookmarkEnd w:id="41"/>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2" w:name="多目标与约束决策"/>
      <w:r>
        <w:t xml:space="preserve">3.10 多目标与约束决策</w:t>
      </w:r>
      <w:bookmarkEnd w:id="42"/>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非支配分析用于显示不同资源偏好下的候选权衡，不引入新多目标算法。资源相近时，质量差异是主要决策依据；预算收紧时，C/L 决定某一方案是否可行。</w:t>
      </w:r>
    </w:p>
    <w:p>
      <w:pPr>
        <w:pStyle w:val="BodyText"/>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3" w:name="实验设置"/>
      <w:r>
        <w:t xml:space="preserve">4 实验设置</w:t>
      </w:r>
      <w:bookmarkEnd w:id="43"/>
    </w:p>
    <w:p>
      <w:pPr>
        <w:pStyle w:val="Heading3"/>
      </w:pPr>
      <w:bookmarkStart w:id="44" w:name="数据来源与评价面板"/>
      <w:r>
        <w:t xml:space="preserve">4.1 数据来源与评价面板</w:t>
      </w:r>
      <w:bookmarkEnd w:id="44"/>
    </w:p>
    <w:p>
      <w:pPr>
        <w:pStyle w:val="FirstParagraph"/>
      </w:pPr>
      <w:r>
        <w:t xml:space="preserve">实验以 MultiHiertt 财务表文推理任务为主，并保留 TAT-QA 的既有分解对照作为补充。[6,7] 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静态—动态</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bl>
    <w:p>
      <w:pPr>
        <w:pStyle w:val="BodyText"/>
      </w:pPr>
      <w:r>
        <w:t xml:space="preserve">四个转换节点不计入条件节点主表。跨模型的 200 题与 Conf-200 是不同面板，前者不能作为未见确认。旧 formal replay 使用预先记录的条件节点结果，不能替代真实传播；本稿以真实输入来源明确的矩阵与动态比较为主，不把历史 formal replay 均值并入主结果。</w:t>
      </w:r>
    </w:p>
    <w:p>
      <w:pPr>
        <w:pStyle w:val="Heading3"/>
      </w:pPr>
      <w:bookmarkStart w:id="45" w:name="模型表示与执行环境"/>
      <w:r>
        <w:t xml:space="preserve">4.2 模型、表示与执行环境</w:t>
      </w:r>
      <w:bookmarkEnd w:id="45"/>
    </w:p>
    <w:p>
      <w:pPr>
        <w:pStyle w:val="FirstParagraph"/>
      </w:pPr>
      <w:r>
        <w:t xml:space="preserve">核心候选池固定为 medium、large、coder，R1 不进入节点路由。别名对应既有协议的模型与服务配置；不同历史实验的生成配置遵循各自冻结版本，本轮未重新调用模型。条件节点预测器采用冻结 GTE 表示和 Ridge 头，类型先验不学习实例表示。后续传播画像与两阶段选择器按各自开发协议训练，与早期条件节点预测器区分。</w:t>
      </w:r>
    </w:p>
    <w:p>
      <w:pPr>
        <w:pStyle w:val="BodyText"/>
      </w:pPr>
      <w:r>
        <w:t xml:space="preserve">实验在项目现有 GPU 与 vLLM 推理服务环境采集。资源比较以同面板记录为准；模型驻留、提示长度及接口会影响服务时长。本文不把服务时长总和称为包含加载、排队、调度的端到端墙钟延迟，也不从不同历史服务配置推断硬件加速。具体模型路径、采集脚本和协议由证据清单追溯。</w:t>
      </w:r>
    </w:p>
    <w:p>
      <w:pPr>
        <w:pStyle w:val="Heading3"/>
      </w:pPr>
      <w:bookmarkStart w:id="46" w:name="对照与指标"/>
      <w:r>
        <w:t xml:space="preserve">4.3 对照与指标</w:t>
      </w:r>
      <w:bookmarkEnd w:id="46"/>
    </w:p>
    <w:p>
      <w:pPr>
        <w:pStyle w:val="FirstParagraph"/>
      </w:pPr>
      <w:r>
        <w:t xml:space="preserve">对照包括查询路由、类型先验、冻结节点路由、强固定模型、固定跨模型组合、静态执行、动态执行以及不同候选空间的事后 Oracle。不同 Oracle 均标明候选集合；逐节点、三条同模型链、九种跨模型组合与恢复动作集合的上界不可互换。</w:t>
      </w:r>
    </w:p>
    <w:p>
      <w:pPr>
        <w:pStyle w:val="BodyText"/>
      </w:pPr>
      <w:r>
        <w:t xml:space="preserve">节点质量是指定评分器的平均分；任务成功率是最终答案正确的任务比例。成本记录 tokens，调用次数单独计算；时延采用记录的服务时间。Help 指默认错误而新策略正确，Harm 指默认正确而新策略错误，二者之差对应正确任务数净变化。真实失败恢复率仅在原最终答案错误的集合上计算。历史复用率的分母为对应追问需要的逻辑节点数量。</w:t>
      </w:r>
    </w:p>
    <w:p>
      <w:pPr>
        <w:pStyle w:val="BodyText"/>
      </w:pPr>
      <w:r>
        <w:t xml:space="preserve">对参考策略 b 与相同候选空间 Oracle，差距恢复比例定义为</w:t>
      </w:r>
    </w:p>
    <w:p>
      <w:pPr>
        <w:pStyle w:val="BodyText"/>
      </w:pPr>
      <m:oMathPara>
        <m:oMathParaPr>
          <m:jc m:val="center"/>
        </m:oMathParaPr>
        <m:oMath>
          <m:r>
            <m:rPr>
              <m:nor/>
              <m:sty m:val="p"/>
            </m:rPr>
            <m:t>GR</m:t>
          </m:r>
          <m:r>
            <m:t>(</m:t>
          </m:r>
          <m:r>
            <m:t>r</m:t>
          </m:r>
          <m:r>
            <m:t>;</m:t>
          </m:r>
          <m:r>
            <m:t>b</m:t>
          </m:r>
          <m:r>
            <m:t>)</m:t>
          </m:r>
          <m:r>
            <m:t>=</m:t>
          </m:r>
          <m:f>
            <m:fPr>
              <m:type m:val="bar"/>
            </m:fPr>
            <m:num>
              <m:sSub>
                <m:e>
                  <m:r>
                    <m:t>Q</m:t>
                  </m:r>
                </m:e>
                <m:sub>
                  <m:r>
                    <m:t>r</m:t>
                  </m:r>
                </m:sub>
              </m:sSub>
              <m:r>
                <m:t>−</m:t>
              </m:r>
              <m:sSub>
                <m:e>
                  <m:r>
                    <m:t>Q</m:t>
                  </m:r>
                </m:e>
                <m:sub>
                  <m:r>
                    <m:t>b</m:t>
                  </m:r>
                </m:sub>
              </m:sSub>
            </m:num>
            <m:den>
              <m:sSub>
                <m:e>
                  <m:r>
                    <m:t>Q</m:t>
                  </m:r>
                </m:e>
                <m:sub>
                  <m:r>
                    <m:rPr>
                      <m:sty m:val="p"/>
                    </m:rPr>
                    <m:t>O</m:t>
                  </m:r>
                  <m:r>
                    <m:rPr>
                      <m:sty m:val="p"/>
                    </m:rPr>
                    <m:t>r</m:t>
                  </m:r>
                  <m:r>
                    <m:rPr>
                      <m:sty m:val="p"/>
                    </m:rPr>
                    <m:t>a</m:t>
                  </m:r>
                  <m:r>
                    <m:rPr>
                      <m:sty m:val="p"/>
                    </m:rPr>
                    <m:t>c</m:t>
                  </m:r>
                  <m:r>
                    <m:rPr>
                      <m:sty m:val="p"/>
                    </m:rPr>
                    <m:t>l</m:t>
                  </m:r>
                  <m:r>
                    <m:rPr>
                      <m:sty m:val="p"/>
                    </m:rPr>
                    <m:t>e</m:t>
                  </m:r>
                </m:sub>
              </m:sSub>
              <m:r>
                <m:t>−</m:t>
              </m:r>
              <m:sSub>
                <m:e>
                  <m:r>
                    <m:t>Q</m:t>
                  </m:r>
                </m:e>
                <m:sub>
                  <m:r>
                    <m:t>b</m:t>
                  </m:r>
                </m:sub>
              </m:sSub>
            </m:den>
          </m:f>
          <m:r>
            <m:t>.</m:t>
          </m:r>
        </m:oMath>
      </m:oMathPara>
    </w:p>
    <w:p>
      <w:pPr>
        <w:pStyle w:val="FirstParagraph"/>
      </w:pPr>
      <w:r>
        <w:t xml:space="preserve">分母须为正，且三项必须来自相同面板和评分口径。负值表示方法低于参考策略，不应截为零。该比例不是正确率，也不等于所有潜在协同机会已被覆盖。</w:t>
      </w:r>
    </w:p>
    <w:p>
      <w:pPr>
        <w:pStyle w:val="Heading3"/>
      </w:pPr>
      <w:bookmarkStart w:id="47" w:name="统计与信息边界"/>
      <w:r>
        <w:t xml:space="preserve">4.4 统计与信息边界</w:t>
      </w:r>
      <w:bookmarkEnd w:id="47"/>
    </w:p>
    <w:p>
      <w:pPr>
        <w:pStyle w:val="FirstParagraph"/>
      </w:pPr>
      <w:r>
        <w:t xml:space="preserve">节点方法的配对区间按任务聚类，保留任务内节点关联；确认与动态比较按任务配对。本文沿用已有冻结结果和先前留档审计，不新增重采样实验。区间包含零时不称显著，少量 Help/Harm 不证明普遍安全。事后评分器复核与开发分析均明确标识。</w:t>
      </w:r>
    </w:p>
    <w:p>
      <w:pPr>
        <w:pStyle w:val="BodyText"/>
      </w:pPr>
      <w:r>
        <w:t xml:space="preserve">标准答案、程序与必要操作数仅用于离线标签和评价，运行恢复输入应由真实快照构成。历史试验若使用标准事实、理想失败检测、事后已知开销或离线成功停止，则按相应条件解释。表中均值不构成线上开销保证；探索性诊断缺少完整配对来源时，不提升为正式确认结果。</w:t>
      </w:r>
    </w:p>
    <w:p>
      <w:pPr>
        <w:pStyle w:val="Heading2"/>
      </w:pPr>
      <w:bookmarkStart w:id="48" w:name="实验结果与分析"/>
      <w:r>
        <w:t xml:space="preserve">5 实验结果与分析</w:t>
      </w:r>
      <w:bookmarkEnd w:id="48"/>
    </w:p>
    <w:p>
      <w:pPr>
        <w:pStyle w:val="FirstParagraph"/>
      </w:pPr>
      <w:r>
        <w:t xml:space="preserve">本章围绕阶段互补、输入传播、组合上界、可路由性、选择性干预及恢复约束八个研究问题展开。条件化节点质量、传播链最终正确率和失败子集恢复率分别报告；不同面板的均值不直接合并。主要结果编号与来源在 FINAL_CLAIM_AUDIT.md 中对应。</w:t>
      </w:r>
    </w:p>
    <w:p>
      <w:pPr>
        <w:pStyle w:val="Heading3"/>
      </w:pPr>
      <w:bookmarkStart w:id="49" w:name="阶段级能力互补是否存在"/>
      <w:r>
        <w:t xml:space="preserve">5.1 阶段级能力互补是否存在</w:t>
      </w:r>
      <w:bookmarkEnd w:id="49"/>
    </w:p>
    <w:p>
      <w:pPr>
        <w:pStyle w:val="FirstParagraph"/>
      </w:pPr>
      <w:r>
        <w:t xml:space="preserve">在 100 任务、493 个主要节点的冻结确认面板上，三候选模型分别执行节点，以扩展执行器统一评分。推理与验证采用基准规定的条件输入，因此本节首先测量阶段能力，而不是完整链成功率。</w:t>
      </w:r>
    </w:p>
    <w:p>
      <w:pPr>
        <w:pStyle w:val="BodyText"/>
        <w:keepNext/>
        <w:spacing w:before="160"/>
      </w:pPr>
      <w:r>
        <w:t xml:space="preserve">表 5-1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个百分点的差距。模型优势因阶段而异，为节点级选择提供经验依据；Oracle 使用事后标签，不能直接证明这些机会可被输入特征预测。</w:t>
      </w:r>
    </w:p>
    <w:p>
      <w:pPr>
        <w:pStyle w:val="BodyText"/>
        <w:keepNext/>
        <w:spacing w:before="160"/>
      </w:pPr>
      <w:r>
        <w:t xml:space="preserve">表 5-2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每任务服务时间总和（秒）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节点路由相对查询路由提高 6.90 个百分点，并减少记录中的 token 与服务时间。以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p>
    <w:p>
      <w:pPr>
        <w:pStyle w:val="BodyText"/>
      </w:pPr>
      <w:r>
        <w:t xml:space="preserve">类型先验与节点路由的均值相同，说明主要收益来自阶段粒度，而非问题表示的额外学习能力。上一版矩阵复核的任务聚类区间表明，节点路由相对查询路由差异为正，而相对类型先验区间包含零。原结果中 0.6045 是旧 Oracle 选择在新评分器下的重评分；本表采用已留档复核的新版逐节点最大值 0.6065，不混用两者计算差距。</w:t>
      </w:r>
    </w:p>
    <w:p>
      <w:pPr>
        <w:pStyle w:val="Heading3"/>
      </w:pPr>
      <w:bookmarkStart w:id="50" w:name="条件互补为何不能直接转化为传播收益"/>
      <w:r>
        <w:t xml:space="preserve">5.2 条件互补为何不能直接转化为传播收益</w:t>
      </w:r>
      <w:bookmarkEnd w:id="50"/>
    </w:p>
    <w:p>
      <w:pPr>
        <w:pStyle w:val="FirstParagraph"/>
      </w:pPr>
      <w:r>
        <w:t xml:space="preserve">900 任务画像使推理模型消费同模型实际抽取结果，测量传播链能力。任务级五折交叉验证保持同任务节点同折。</w:t>
      </w:r>
    </w:p>
    <w:p>
      <w:pPr>
        <w:pStyle w:val="BodyText"/>
        <w:keepNext/>
        <w:spacing w:before="160"/>
      </w:pPr>
      <w:r>
        <w:t xml:space="preserve">表 5-3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个存在模型间结果差异。大量共同失败和共同成功会使整体最优模型命中率受并列情况抬高；判断可路由性应关注模型表现不同的任务及最终质量差异。</w:t>
      </w:r>
    </w:p>
    <w:p>
      <w:pPr>
        <w:pStyle w:val="BodyText"/>
      </w:pP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w:t>
      </w:r>
      <w:r>
        <w:rPr>
          <w:rStyle w:val="VerbatimChar"/>
        </w:rPr>
        <w:t xml:space="preserve">REASONER_ROW_ORACLE_AUDIT.json</w:t>
      </w:r>
      <w:r>
        <w:t xml:space="preserve">，冻结评分器逐任务重算）给出各面板的传播 headroom：900 题开发集 5.00pp、Conf-200 4.50pp、Conf-500 5.40pp、合并 1,600 题 5.06pp；共同失败占比 77.0%／76.5%／76.2%／76.7%。本文统一引用上述审计值；此前口径外的</w:t>
      </w:r>
      <w:r>
        <w:t xml:space="preserve">“</w:t>
      </w:r>
      <w:r>
        <w:t xml:space="preserve">传播后 4.1pp</w:t>
      </w:r>
      <w:r>
        <w:t xml:space="preserve">”</w:t>
      </w:r>
      <w:r>
        <w:t xml:space="preserve">说法查无冻结来源，作废。下一节通过固定推理者、更换上游来源提供更直接的机制证据。</w:t>
      </w:r>
    </w:p>
    <w:p>
      <w:pPr>
        <w:pStyle w:val="BodyText"/>
      </w:pPr>
      <w:r>
        <w:t xml:space="preserve">由此，条件能力与传播能力必须分开估计；前者揭示理想输入下的能力，后者反映整个输入生成过程与下游执行的联合作用。</w:t>
      </w:r>
    </w:p>
    <w:p>
      <w:pPr>
        <w:pStyle w:val="Heading3"/>
      </w:pPr>
      <w:bookmarkStart w:id="51" w:name="跨模型组合能否释放阶段互补"/>
      <w:r>
        <w:t xml:space="preserve">5.3 跨模型组合能否释放阶段互补</w:t>
      </w:r>
      <w:bookmarkEnd w:id="51"/>
    </w:p>
    <w:p>
      <w:pPr>
        <w:pStyle w:val="FirstParagraph"/>
      </w:pPr>
      <w:r>
        <w:t xml:space="preserve">在能力画像的 200 任务子集上，实际执行三个抽取模型与三个推理模型的九种组合，推理者消费对应抽取者输出。该子集用于开发机制分析，不是 Conf-200 确认集。</w:t>
      </w:r>
    </w:p>
    <w:p>
      <w:pPr>
        <w:pStyle w:val="BodyText"/>
        <w:keepNext/>
        <w:spacing w:before="160"/>
      </w:pPr>
      <w:r>
        <w:t xml:space="preserve">表 5-4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w:t>
      </w:r>
    </w:p>
    <w:p>
      <w:pPr>
        <w:pStyle w:val="BodyText"/>
      </w:pPr>
      <w:r>
        <w:t xml:space="preserve">上述比较支持阶段互补的机制解释，但当前未据该汇总表宣称各点估计差异均达到统计显著。large 抽取均值更好也不意味着它在每个任务上都是最优来源。</w:t>
      </w:r>
    </w:p>
    <w:p>
      <w:pPr>
        <w:pStyle w:val="BodyText"/>
      </w:pPr>
      <w:r>
        <w:t xml:space="preserve">DAG 的价值因此不应被简化为</w:t>
      </w:r>
      <w:r>
        <w:t xml:space="preserve">“</w:t>
      </w:r>
      <w:r>
        <w:t xml:space="preserve">拆分总提高性能</w:t>
      </w:r>
      <w:r>
        <w:t xml:space="preserve">”</w:t>
      </w:r>
      <w:r>
        <w:t xml:space="preserve">。为把分解效应与模型选择效应分开，本文冻结 300 个任务（MultiHiertt 100、TAT-QA 200；任务标识与历史协议污染经审计，抽取失败即判失败、不重试、不喂标准事实）并在一次统一推理会话中执行三臂分解基准：Mono-L（单体 large 直接作答）、DAG-L/L（large 抽取→large 推理→确定执行）与 DAG-L/M（同一抽取输出→medium 推理→确定执行）。两个 DAG 臂共享同一次抽取、全部提示与生成配置，因此表 5-5 只改变</w:t>
      </w:r>
      <w:r>
        <w:t xml:space="preserve">“</w:t>
      </w:r>
      <w:r>
        <w:t xml:space="preserve">是否拆分</w:t>
      </w:r>
      <w:r>
        <w:t xml:space="preserve">”</w:t>
      </w:r>
      <w:r>
        <w:t xml:space="preserve">，表 5-6 只改变</w:t>
      </w:r>
      <w:r>
        <w:t xml:space="preserve">“</w:t>
      </w:r>
      <w:r>
        <w:t xml:space="preserve">推理模型</w:t>
      </w:r>
      <w:r>
        <w:t xml:space="preserve">”</w:t>
      </w:r>
      <w:r>
        <w:t xml:space="preserve">。</w:t>
      </w:r>
    </w:p>
    <w:p>
      <w:pPr>
        <w:pStyle w:val="BodyText"/>
        <w:keepNext/>
        <w:spacing w:before="160"/>
      </w:pPr>
      <w:r>
        <w:t xml:space="preserve">表 5-5 严格配对分解基准：拆分本身（Mono-L vs DAG-L/L）</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Mono-L</w:t>
            </w:r>
          </w:p>
        </w:tc>
        <w:tc>
          <w:tcPr>
            <w:tcW w:type="dxa" w:w="1152"/>
            <w:vAlign w:val="center"/>
            <w:shd w:fill="E8EDF2"/>
          </w:tcPr>
          <w:p>
            <w:pPr>
              <w:spacing w:after="60" w:before="60" w:line="240" w:lineRule="auto"/>
            </w:pPr>
            <w:r>
              <w:rPr>
                <w:rFonts w:eastAsia="Noto Sans CJK SC"/>
                <w:b/>
                <w:sz w:val="16"/>
              </w:rPr>
              <w:t>DAG-L/L</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11.0%</w:t>
            </w:r>
          </w:p>
        </w:tc>
        <w:tc>
          <w:tcPr>
            <w:tcW w:type="dxa" w:w="1152"/>
            <w:vAlign w:val="center"/>
          </w:tcPr>
          <w:p>
            <w:pPr>
              <w:spacing w:after="60" w:before="60" w:line="240" w:lineRule="auto"/>
            </w:pPr>
            <w:r>
              <w:rPr>
                <w:rFonts w:eastAsia="Noto Sans CJK SC"/>
                <w:b w:val="0"/>
                <w:sz w:val="16"/>
              </w:rPr>
              <w:t>17.0%</w:t>
            </w:r>
          </w:p>
        </w:tc>
        <w:tc>
          <w:tcPr>
            <w:tcW w:type="dxa" w:w="1307"/>
            <w:vAlign w:val="center"/>
          </w:tcPr>
          <w:p>
            <w:pPr>
              <w:spacing w:after="60" w:before="60" w:line="240" w:lineRule="auto"/>
            </w:pPr>
            <w:r>
              <w:rPr>
                <w:rFonts w:eastAsia="Noto Sans CJK SC"/>
                <w:b w:val="0"/>
                <w:sz w:val="16"/>
              </w:rPr>
              <w:t>+6.0pp</w:t>
            </w:r>
          </w:p>
        </w:tc>
        <w:tc>
          <w:tcPr>
            <w:tcW w:type="dxa" w:w="1245"/>
            <w:vAlign w:val="center"/>
          </w:tcPr>
          <w:p>
            <w:pPr>
              <w:spacing w:after="60" w:before="60" w:line="240" w:lineRule="auto"/>
            </w:pPr>
            <w:r>
              <w:rPr>
                <w:rFonts w:eastAsia="Noto Sans CJK SC"/>
                <w:b w:val="0"/>
                <w:sz w:val="16"/>
              </w:rPr>
              <w:t>[−2.0,+14.0]</w:t>
            </w:r>
          </w:p>
        </w:tc>
        <w:tc>
          <w:tcPr>
            <w:tcW w:type="dxa" w:w="996"/>
            <w:vAlign w:val="center"/>
          </w:tcPr>
          <w:p>
            <w:pPr>
              <w:spacing w:after="60" w:before="60" w:line="240" w:lineRule="auto"/>
            </w:pPr>
            <w:r>
              <w:rPr>
                <w:rFonts w:eastAsia="Noto Sans CJK SC"/>
                <w:b w:val="0"/>
                <w:sz w:val="16"/>
              </w:rPr>
              <w:t>11／5</w:t>
            </w:r>
          </w:p>
        </w:tc>
        <w:tc>
          <w:tcPr>
            <w:tcW w:type="dxa" w:w="1058"/>
            <w:vAlign w:val="center"/>
          </w:tcPr>
          <w:p>
            <w:pPr>
              <w:spacing w:after="60" w:before="60" w:line="240" w:lineRule="auto"/>
            </w:pPr>
            <w:r>
              <w:rPr>
                <w:rFonts w:eastAsia="Noto Sans CJK SC"/>
                <w:b w:val="0"/>
                <w:sz w:val="16"/>
              </w:rPr>
              <w:t>0.21</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52.5%</w:t>
            </w:r>
          </w:p>
        </w:tc>
        <w:tc>
          <w:tcPr>
            <w:tcW w:type="dxa" w:w="1152"/>
            <w:vAlign w:val="center"/>
          </w:tcPr>
          <w:p>
            <w:pPr>
              <w:spacing w:after="60" w:before="60" w:line="240" w:lineRule="auto"/>
            </w:pPr>
            <w:r>
              <w:rPr>
                <w:rFonts w:eastAsia="Noto Sans CJK SC"/>
                <w:b w:val="0"/>
                <w:sz w:val="16"/>
              </w:rPr>
              <w:t>31.5%</w:t>
            </w:r>
          </w:p>
        </w:tc>
        <w:tc>
          <w:tcPr>
            <w:tcW w:type="dxa" w:w="1307"/>
            <w:vAlign w:val="center"/>
          </w:tcPr>
          <w:p>
            <w:pPr>
              <w:spacing w:after="60" w:before="60" w:line="240" w:lineRule="auto"/>
            </w:pPr>
            <w:r>
              <w:rPr>
                <w:rFonts w:eastAsia="Noto Sans CJK SC"/>
                <w:b w:val="0"/>
                <w:sz w:val="16"/>
              </w:rPr>
              <w:t>−21.0pp</w:t>
            </w:r>
          </w:p>
        </w:tc>
        <w:tc>
          <w:tcPr>
            <w:tcW w:type="dxa" w:w="1245"/>
            <w:vAlign w:val="center"/>
          </w:tcPr>
          <w:p>
            <w:pPr>
              <w:spacing w:after="60" w:before="60" w:line="240" w:lineRule="auto"/>
            </w:pPr>
            <w:r>
              <w:rPr>
                <w:rFonts w:eastAsia="Noto Sans CJK SC"/>
                <w:b w:val="0"/>
                <w:sz w:val="16"/>
              </w:rPr>
              <w:t>[−28.5,−13.5]</w:t>
            </w:r>
          </w:p>
        </w:tc>
        <w:tc>
          <w:tcPr>
            <w:tcW w:type="dxa" w:w="996"/>
            <w:vAlign w:val="center"/>
          </w:tcPr>
          <w:p>
            <w:pPr>
              <w:spacing w:after="60" w:before="60" w:line="240" w:lineRule="auto"/>
            </w:pPr>
            <w:r>
              <w:rPr>
                <w:rFonts w:eastAsia="Noto Sans CJK SC"/>
                <w:b w:val="0"/>
                <w:sz w:val="16"/>
              </w:rPr>
              <w:t>14／56</w:t>
            </w:r>
          </w:p>
        </w:tc>
        <w:tc>
          <w:tcPr>
            <w:tcW w:type="dxa" w:w="1058"/>
            <w:vAlign w:val="center"/>
          </w:tcPr>
          <w:p>
            <w:pPr>
              <w:spacing w:after="60" w:before="60" w:line="240" w:lineRule="auto"/>
            </w:pPr>
            <w:r>
              <w:rPr>
                <w:rFonts w:eastAsia="Noto Sans CJK SC"/>
                <w:b w:val="0"/>
                <w:sz w:val="16"/>
              </w:rPr>
              <w:t>4.3×10⁻⁷</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38.7%</w:t>
            </w:r>
          </w:p>
        </w:tc>
        <w:tc>
          <w:tcPr>
            <w:tcW w:type="dxa" w:w="1152"/>
            <w:vAlign w:val="center"/>
          </w:tcPr>
          <w:p>
            <w:pPr>
              <w:spacing w:after="60" w:before="60" w:line="240" w:lineRule="auto"/>
            </w:pPr>
            <w:r>
              <w:rPr>
                <w:rFonts w:eastAsia="Noto Sans CJK SC"/>
                <w:b w:val="0"/>
                <w:sz w:val="16"/>
              </w:rPr>
              <w:t>26.7%</w:t>
            </w:r>
          </w:p>
        </w:tc>
        <w:tc>
          <w:tcPr>
            <w:tcW w:type="dxa" w:w="1307"/>
            <w:vAlign w:val="center"/>
          </w:tcPr>
          <w:p>
            <w:pPr>
              <w:spacing w:after="60" w:before="60" w:line="240" w:lineRule="auto"/>
            </w:pPr>
            <w:r>
              <w:rPr>
                <w:rFonts w:eastAsia="Noto Sans CJK SC"/>
                <w:b w:val="0"/>
                <w:sz w:val="16"/>
              </w:rPr>
              <w:t>−12.0pp</w:t>
            </w:r>
          </w:p>
        </w:tc>
        <w:tc>
          <w:tcPr>
            <w:tcW w:type="dxa" w:w="1245"/>
            <w:vAlign w:val="center"/>
          </w:tcPr>
          <w:p>
            <w:pPr>
              <w:spacing w:after="60" w:before="60" w:line="240" w:lineRule="auto"/>
            </w:pPr>
            <w:r>
              <w:rPr>
                <w:rFonts w:eastAsia="Noto Sans CJK SC"/>
                <w:b w:val="0"/>
                <w:sz w:val="16"/>
              </w:rPr>
              <w:t>[−18.0,−6.0]</w:t>
            </w:r>
          </w:p>
        </w:tc>
        <w:tc>
          <w:tcPr>
            <w:tcW w:type="dxa" w:w="996"/>
            <w:vAlign w:val="center"/>
          </w:tcPr>
          <w:p>
            <w:pPr>
              <w:spacing w:after="60" w:before="60" w:line="240" w:lineRule="auto"/>
            </w:pPr>
            <w:r>
              <w:rPr>
                <w:rFonts w:eastAsia="Noto Sans CJK SC"/>
                <w:b w:val="0"/>
                <w:sz w:val="16"/>
              </w:rPr>
              <w:t>25／61</w:t>
            </w:r>
          </w:p>
        </w:tc>
        <w:tc>
          <w:tcPr>
            <w:tcW w:type="dxa" w:w="1058"/>
            <w:vAlign w:val="center"/>
          </w:tcPr>
          <w:p>
            <w:pPr>
              <w:spacing w:after="60" w:before="60" w:line="240" w:lineRule="auto"/>
            </w:pPr>
            <w:r>
              <w:rPr>
                <w:rFonts w:eastAsia="Noto Sans CJK SC"/>
                <w:b w:val="0"/>
                <w:sz w:val="16"/>
              </w:rPr>
              <w:t>1.3×10⁻⁴</w:t>
            </w:r>
          </w:p>
        </w:tc>
      </w:tr>
    </w:tbl>
    <w:p>
      <w:pPr>
        <w:pStyle w:val="BodyText"/>
      </w:pPr>
      <w:r>
        <w:t xml:space="preserve">ΔQ 为任务级配对差值 DAG−Mono 的均值，95% 区间为 10 000 次配对 bootstrap，p 为精确 McNemar 检验。同模型拆分本身在 TAT-QA 上显著有害（−21.0 个百分点，Harm 56 远多于 Help 14），在 MultiHiertt 上为不显著的正向信号（+6.0 个百分点），总体 −12.0 个百分点且区间不含零。分解不自动带来收益：它引入真实的接口损耗，损耗集中于简单任务（见下表）。</w:t>
      </w:r>
    </w:p>
    <w:p>
      <w:pPr>
        <w:pStyle w:val="BodyText"/>
        <w:keepNext/>
        <w:spacing w:before="160"/>
      </w:pPr>
      <w:r>
        <w:t xml:space="preserve">表 5-6 严格配对分解基准：异构阶段分工（DAG-L/L vs DAG-L/M）</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DAG-L/L</w:t>
            </w:r>
          </w:p>
        </w:tc>
        <w:tc>
          <w:tcPr>
            <w:tcW w:type="dxa" w:w="1152"/>
            <w:vAlign w:val="center"/>
            <w:shd w:fill="E8EDF2"/>
          </w:tcPr>
          <w:p>
            <w:pPr>
              <w:spacing w:after="60" w:before="60" w:line="240" w:lineRule="auto"/>
            </w:pPr>
            <w:r>
              <w:rPr>
                <w:rFonts w:eastAsia="Noto Sans CJK SC"/>
                <w:b/>
                <w:sz w:val="16"/>
              </w:rPr>
              <w:t>DAG-L/M</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17.0%</w:t>
            </w:r>
          </w:p>
        </w:tc>
        <w:tc>
          <w:tcPr>
            <w:tcW w:type="dxa" w:w="1152"/>
            <w:vAlign w:val="center"/>
          </w:tcPr>
          <w:p>
            <w:pPr>
              <w:spacing w:after="60" w:before="60" w:line="240" w:lineRule="auto"/>
            </w:pPr>
            <w:r>
              <w:rPr>
                <w:rFonts w:eastAsia="Noto Sans CJK SC"/>
                <w:b w:val="0"/>
                <w:sz w:val="16"/>
              </w:rPr>
              <w:t>15.0%</w:t>
            </w:r>
          </w:p>
        </w:tc>
        <w:tc>
          <w:tcPr>
            <w:tcW w:type="dxa" w:w="1307"/>
            <w:vAlign w:val="center"/>
          </w:tcPr>
          <w:p>
            <w:pPr>
              <w:spacing w:after="60" w:before="60" w:line="240" w:lineRule="auto"/>
            </w:pPr>
            <w:r>
              <w:rPr>
                <w:rFonts w:eastAsia="Noto Sans CJK SC"/>
                <w:b w:val="0"/>
                <w:sz w:val="16"/>
              </w:rPr>
              <w:t>−2.0pp</w:t>
            </w:r>
          </w:p>
        </w:tc>
        <w:tc>
          <w:tcPr>
            <w:tcW w:type="dxa" w:w="1245"/>
            <w:vAlign w:val="center"/>
          </w:tcPr>
          <w:p>
            <w:pPr>
              <w:spacing w:after="60" w:before="60" w:line="240" w:lineRule="auto"/>
            </w:pPr>
            <w:r>
              <w:rPr>
                <w:rFonts w:eastAsia="Noto Sans CJK SC"/>
                <w:b w:val="0"/>
                <w:sz w:val="16"/>
              </w:rPr>
              <w:t>[−7.0,+3.0]</w:t>
            </w:r>
          </w:p>
        </w:tc>
        <w:tc>
          <w:tcPr>
            <w:tcW w:type="dxa" w:w="996"/>
            <w:vAlign w:val="center"/>
          </w:tcPr>
          <w:p>
            <w:pPr>
              <w:spacing w:after="60" w:before="60" w:line="240" w:lineRule="auto"/>
            </w:pPr>
            <w:r>
              <w:rPr>
                <w:rFonts w:eastAsia="Noto Sans CJK SC"/>
                <w:b w:val="0"/>
                <w:sz w:val="16"/>
              </w:rPr>
              <w:t>2／4</w:t>
            </w:r>
          </w:p>
        </w:tc>
        <w:tc>
          <w:tcPr>
            <w:tcW w:type="dxa" w:w="1058"/>
            <w:vAlign w:val="center"/>
          </w:tcPr>
          <w:p>
            <w:pPr>
              <w:spacing w:after="60" w:before="60" w:line="240" w:lineRule="auto"/>
            </w:pPr>
            <w:r>
              <w:rPr>
                <w:rFonts w:eastAsia="Noto Sans CJK SC"/>
                <w:b w:val="0"/>
                <w:sz w:val="16"/>
              </w:rPr>
              <w:t>0.69</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31.5%</w:t>
            </w:r>
          </w:p>
        </w:tc>
        <w:tc>
          <w:tcPr>
            <w:tcW w:type="dxa" w:w="1152"/>
            <w:vAlign w:val="center"/>
          </w:tcPr>
          <w:p>
            <w:pPr>
              <w:spacing w:after="60" w:before="60" w:line="240" w:lineRule="auto"/>
            </w:pPr>
            <w:r>
              <w:rPr>
                <w:rFonts w:eastAsia="Noto Sans CJK SC"/>
                <w:b w:val="0"/>
                <w:sz w:val="16"/>
              </w:rPr>
              <w:t>40.0%</w:t>
            </w:r>
          </w:p>
        </w:tc>
        <w:tc>
          <w:tcPr>
            <w:tcW w:type="dxa" w:w="1307"/>
            <w:vAlign w:val="center"/>
          </w:tcPr>
          <w:p>
            <w:pPr>
              <w:spacing w:after="60" w:before="60" w:line="240" w:lineRule="auto"/>
            </w:pPr>
            <w:r>
              <w:rPr>
                <w:rFonts w:eastAsia="Noto Sans CJK SC"/>
                <w:b w:val="0"/>
                <w:sz w:val="16"/>
              </w:rPr>
              <w:t>+8.5pp</w:t>
            </w:r>
          </w:p>
        </w:tc>
        <w:tc>
          <w:tcPr>
            <w:tcW w:type="dxa" w:w="1245"/>
            <w:vAlign w:val="center"/>
          </w:tcPr>
          <w:p>
            <w:pPr>
              <w:spacing w:after="60" w:before="60" w:line="240" w:lineRule="auto"/>
            </w:pPr>
            <w:r>
              <w:rPr>
                <w:rFonts w:eastAsia="Noto Sans CJK SC"/>
                <w:b w:val="0"/>
                <w:sz w:val="16"/>
              </w:rPr>
              <w:t>[+3.5,+13.5]</w:t>
            </w:r>
          </w:p>
        </w:tc>
        <w:tc>
          <w:tcPr>
            <w:tcW w:type="dxa" w:w="996"/>
            <w:vAlign w:val="center"/>
          </w:tcPr>
          <w:p>
            <w:pPr>
              <w:spacing w:after="60" w:before="60" w:line="240" w:lineRule="auto"/>
            </w:pPr>
            <w:r>
              <w:rPr>
                <w:rFonts w:eastAsia="Noto Sans CJK SC"/>
                <w:b w:val="0"/>
                <w:sz w:val="16"/>
              </w:rPr>
              <w:t>22／5</w:t>
            </w:r>
          </w:p>
        </w:tc>
        <w:tc>
          <w:tcPr>
            <w:tcW w:type="dxa" w:w="1058"/>
            <w:vAlign w:val="center"/>
          </w:tcPr>
          <w:p>
            <w:pPr>
              <w:spacing w:after="60" w:before="60" w:line="240" w:lineRule="auto"/>
            </w:pPr>
            <w:r>
              <w:rPr>
                <w:rFonts w:eastAsia="Noto Sans CJK SC"/>
                <w:b w:val="0"/>
                <w:sz w:val="16"/>
              </w:rPr>
              <w:t>0.0015</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26.7%</w:t>
            </w:r>
          </w:p>
        </w:tc>
        <w:tc>
          <w:tcPr>
            <w:tcW w:type="dxa" w:w="1152"/>
            <w:vAlign w:val="center"/>
          </w:tcPr>
          <w:p>
            <w:pPr>
              <w:spacing w:after="60" w:before="60" w:line="240" w:lineRule="auto"/>
            </w:pPr>
            <w:r>
              <w:rPr>
                <w:rFonts w:eastAsia="Noto Sans CJK SC"/>
                <w:b w:val="0"/>
                <w:sz w:val="16"/>
              </w:rPr>
              <w:t>31.7%</w:t>
            </w:r>
          </w:p>
        </w:tc>
        <w:tc>
          <w:tcPr>
            <w:tcW w:type="dxa" w:w="1307"/>
            <w:vAlign w:val="center"/>
          </w:tcPr>
          <w:p>
            <w:pPr>
              <w:spacing w:after="60" w:before="60" w:line="240" w:lineRule="auto"/>
            </w:pPr>
            <w:r>
              <w:rPr>
                <w:rFonts w:eastAsia="Noto Sans CJK SC"/>
                <w:b w:val="0"/>
                <w:sz w:val="16"/>
              </w:rPr>
              <w:t>+5.0pp</w:t>
            </w:r>
          </w:p>
        </w:tc>
        <w:tc>
          <w:tcPr>
            <w:tcW w:type="dxa" w:w="1245"/>
            <w:vAlign w:val="center"/>
          </w:tcPr>
          <w:p>
            <w:pPr>
              <w:spacing w:after="60" w:before="60" w:line="240" w:lineRule="auto"/>
            </w:pPr>
            <w:r>
              <w:rPr>
                <w:rFonts w:eastAsia="Noto Sans CJK SC"/>
                <w:b w:val="0"/>
                <w:sz w:val="16"/>
              </w:rPr>
              <w:t>[+1.3,+8.7]</w:t>
            </w:r>
          </w:p>
        </w:tc>
        <w:tc>
          <w:tcPr>
            <w:tcW w:type="dxa" w:w="996"/>
            <w:vAlign w:val="center"/>
          </w:tcPr>
          <w:p>
            <w:pPr>
              <w:spacing w:after="60" w:before="60" w:line="240" w:lineRule="auto"/>
            </w:pPr>
            <w:r>
              <w:rPr>
                <w:rFonts w:eastAsia="Noto Sans CJK SC"/>
                <w:b w:val="0"/>
                <w:sz w:val="16"/>
              </w:rPr>
              <w:t>24／9</w:t>
            </w:r>
          </w:p>
        </w:tc>
        <w:tc>
          <w:tcPr>
            <w:tcW w:type="dxa" w:w="1058"/>
            <w:vAlign w:val="center"/>
          </w:tcPr>
          <w:p>
            <w:pPr>
              <w:spacing w:after="60" w:before="60" w:line="240" w:lineRule="auto"/>
            </w:pPr>
            <w:r>
              <w:rPr>
                <w:rFonts w:eastAsia="Noto Sans CJK SC"/>
                <w:b w:val="0"/>
                <w:sz w:val="16"/>
              </w:rPr>
              <w:t>0.014</w:t>
            </w:r>
          </w:p>
        </w:tc>
      </w:tr>
    </w:tbl>
    <w:p>
      <w:pPr>
        <w:pStyle w:val="BodyText"/>
      </w:pPr>
      <w:r>
        <w:t xml:space="preserve">拆分之后把推理模型从 large 换成 medium：TAT-QA 显著追回 +8.5 个百分点，总体 +5.0 个百分点；MultiHiertt 上 medium 推理不优于 large（−2.0 个百分点，不显著），说明阶段互补是任务依赖而非普适。</w:t>
      </w:r>
      <w:r>
        <w:rPr>
          <w:b/>
        </w:rPr>
        <w:t xml:space="preserve">但即使加上异构分工，DAG-L/M 总体 31.7% 仍低于 Mono-L 的 38.7%：异构分配显著缓解了分解造成的性能损失，但在当前 300 题总体上尚未完全抵消该损失</w:t>
      </w:r>
      <w:r>
        <w:t xml:space="preserve">。据此，DAG 分解本身不应被宣称为质量提升手段；其作用是解除执行阶段之间的同模型绑定，为阶段级异构能力分配提供结构接口，最终收益取决于分解接口损耗与模型阶段互补性之间的平衡。</w:t>
      </w:r>
    </w:p>
    <w:p>
      <w:pPr>
        <w:pStyle w:val="BodyText"/>
        <w:keepNext/>
        <w:spacing w:before="160"/>
      </w:pPr>
      <w:r>
        <w:t xml:space="preserve">表 5-7 复杂度分层下的分解效应（表 5-5 对照）</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数据集</w:t>
            </w:r>
          </w:p>
        </w:tc>
        <w:tc>
          <w:tcPr>
            <w:tcW w:type="dxa" w:w="876"/>
            <w:vAlign w:val="center"/>
            <w:shd w:fill="E8EDF2"/>
          </w:tcPr>
          <w:p>
            <w:pPr>
              <w:spacing w:after="60" w:before="60" w:line="240" w:lineRule="auto"/>
            </w:pPr>
            <w:r>
              <w:rPr>
                <w:rFonts w:eastAsia="Noto Sans CJK SC"/>
                <w:b/>
                <w:sz w:val="18"/>
              </w:rPr>
              <w:t>复杂度</w:t>
            </w:r>
          </w:p>
        </w:tc>
        <w:tc>
          <w:tcPr>
            <w:tcW w:type="dxa" w:w="1519"/>
            <w:vAlign w:val="center"/>
            <w:shd w:fill="E8EDF2"/>
          </w:tcPr>
          <w:p>
            <w:pPr>
              <w:spacing w:after="60" w:before="60" w:line="240" w:lineRule="auto"/>
            </w:pPr>
            <w:r>
              <w:rPr>
                <w:rFonts w:eastAsia="Noto Sans CJK SC"/>
                <w:b/>
                <w:sz w:val="18"/>
              </w:rPr>
              <w:t>N</w:t>
            </w:r>
          </w:p>
        </w:tc>
        <w:tc>
          <w:tcPr>
            <w:tcW w:type="dxa" w:w="1578"/>
            <w:vAlign w:val="center"/>
            <w:shd w:fill="E8EDF2"/>
          </w:tcPr>
          <w:p>
            <w:pPr>
              <w:spacing w:after="60" w:before="60" w:line="240" w:lineRule="auto"/>
            </w:pPr>
            <w:r>
              <w:rPr>
                <w:rFonts w:eastAsia="Noto Sans CJK SC"/>
                <w:b/>
                <w:sz w:val="18"/>
              </w:rPr>
              <w:t>Mono-L</w:t>
            </w:r>
          </w:p>
        </w:tc>
        <w:tc>
          <w:tcPr>
            <w:tcW w:type="dxa" w:w="2045"/>
            <w:vAlign w:val="center"/>
            <w:shd w:fill="E8EDF2"/>
          </w:tcPr>
          <w:p>
            <w:pPr>
              <w:spacing w:after="60" w:before="60" w:line="240" w:lineRule="auto"/>
            </w:pPr>
            <w:r>
              <w:rPr>
                <w:rFonts w:eastAsia="Noto Sans CJK SC"/>
                <w:b/>
                <w:sz w:val="18"/>
              </w:rPr>
              <w:t>DAG-L/L</w:t>
            </w:r>
          </w:p>
        </w:tc>
        <w:tc>
          <w:tcPr>
            <w:tcW w:type="dxa" w:w="1811"/>
            <w:vAlign w:val="center"/>
            <w:shd w:fill="E8EDF2"/>
          </w:tcPr>
          <w:p>
            <w:pPr>
              <w:spacing w:after="60" w:before="60" w:line="240" w:lineRule="auto"/>
            </w:pPr>
            <w:r>
              <w:rPr>
                <w:rFonts w:eastAsia="Noto Sans CJK SC"/>
                <w:b/>
                <w:sz w:val="18"/>
              </w:rPr>
              <w:t>ΔQ</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177</w:t>
            </w:r>
          </w:p>
        </w:tc>
        <w:tc>
          <w:tcPr>
            <w:tcW w:type="dxa" w:w="1578"/>
            <w:vAlign w:val="center"/>
          </w:tcPr>
          <w:p>
            <w:pPr>
              <w:spacing w:after="60" w:before="60" w:line="240" w:lineRule="auto"/>
            </w:pPr>
            <w:r>
              <w:rPr>
                <w:rFonts w:eastAsia="Noto Sans CJK SC"/>
                <w:b w:val="0"/>
                <w:sz w:val="18"/>
              </w:rPr>
              <w:t>53.1%</w:t>
            </w:r>
          </w:p>
        </w:tc>
        <w:tc>
          <w:tcPr>
            <w:tcW w:type="dxa" w:w="2045"/>
            <w:vAlign w:val="center"/>
          </w:tcPr>
          <w:p>
            <w:pPr>
              <w:spacing w:after="60" w:before="60" w:line="240" w:lineRule="auto"/>
            </w:pPr>
            <w:r>
              <w:rPr>
                <w:rFonts w:eastAsia="Noto Sans CJK SC"/>
                <w:b w:val="0"/>
                <w:sz w:val="18"/>
              </w:rPr>
              <w:t>26.0%</w:t>
            </w:r>
          </w:p>
        </w:tc>
        <w:tc>
          <w:tcPr>
            <w:tcW w:type="dxa" w:w="1811"/>
            <w:vAlign w:val="center"/>
          </w:tcPr>
          <w:p>
            <w:pPr>
              <w:spacing w:after="60" w:before="60" w:line="240" w:lineRule="auto"/>
            </w:pPr>
            <w:r>
              <w:rPr>
                <w:rFonts w:eastAsia="Noto Sans CJK SC"/>
                <w:b w:val="0"/>
                <w:sz w:val="18"/>
              </w:rPr>
              <w:t>−27.1pp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19</w:t>
            </w:r>
          </w:p>
        </w:tc>
        <w:tc>
          <w:tcPr>
            <w:tcW w:type="dxa" w:w="1578"/>
            <w:vAlign w:val="center"/>
          </w:tcPr>
          <w:p>
            <w:pPr>
              <w:spacing w:after="60" w:before="60" w:line="240" w:lineRule="auto"/>
            </w:pPr>
            <w:r>
              <w:rPr>
                <w:rFonts w:eastAsia="Noto Sans CJK SC"/>
                <w:b w:val="0"/>
                <w:sz w:val="18"/>
              </w:rPr>
              <w:t>52.6%</w:t>
            </w:r>
          </w:p>
        </w:tc>
        <w:tc>
          <w:tcPr>
            <w:tcW w:type="dxa" w:w="2045"/>
            <w:vAlign w:val="center"/>
          </w:tcPr>
          <w:p>
            <w:pPr>
              <w:spacing w:after="60" w:before="60" w:line="240" w:lineRule="auto"/>
            </w:pPr>
            <w:r>
              <w:rPr>
                <w:rFonts w:eastAsia="Noto Sans CJK SC"/>
                <w:b w:val="0"/>
                <w:sz w:val="18"/>
              </w:rPr>
              <w:t>73.7%</w:t>
            </w:r>
          </w:p>
        </w:tc>
        <w:tc>
          <w:tcPr>
            <w:tcW w:type="dxa" w:w="1811"/>
            <w:vAlign w:val="center"/>
          </w:tcPr>
          <w:p>
            <w:pPr>
              <w:spacing w:after="60" w:before="60" w:line="240" w:lineRule="auto"/>
            </w:pPr>
            <w:r>
              <w:rPr>
                <w:rFonts w:eastAsia="Noto Sans CJK SC"/>
                <w:b w:val="0"/>
                <w:sz w:val="18"/>
              </w:rPr>
              <w:t>+21.1pp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4</w:t>
            </w:r>
          </w:p>
        </w:tc>
        <w:tc>
          <w:tcPr>
            <w:tcW w:type="dxa" w:w="1578"/>
            <w:vAlign w:val="center"/>
          </w:tcPr>
          <w:p>
            <w:pPr>
              <w:spacing w:after="60" w:before="60" w:line="240" w:lineRule="auto"/>
            </w:pPr>
            <w:r>
              <w:rPr>
                <w:rFonts w:eastAsia="Noto Sans CJK SC"/>
                <w:b w:val="0"/>
                <w:sz w:val="18"/>
              </w:rPr>
              <w:t>25.0%</w:t>
            </w:r>
          </w:p>
        </w:tc>
        <w:tc>
          <w:tcPr>
            <w:tcW w:type="dxa" w:w="2045"/>
            <w:vAlign w:val="center"/>
          </w:tcPr>
          <w:p>
            <w:pPr>
              <w:spacing w:after="60" w:before="60" w:line="240" w:lineRule="auto"/>
            </w:pPr>
            <w:r>
              <w:rPr>
                <w:rFonts w:eastAsia="Noto Sans CJK SC"/>
                <w:b w:val="0"/>
                <w:sz w:val="18"/>
              </w:rPr>
              <w:t>75.0%</w:t>
            </w:r>
          </w:p>
        </w:tc>
        <w:tc>
          <w:tcPr>
            <w:tcW w:type="dxa" w:w="1811"/>
            <w:vAlign w:val="center"/>
          </w:tcPr>
          <w:p>
            <w:pPr>
              <w:spacing w:after="60" w:before="60" w:line="240" w:lineRule="auto"/>
            </w:pPr>
            <w:r>
              <w:rPr>
                <w:rFonts w:eastAsia="Noto Sans CJK SC"/>
                <w:b w:val="0"/>
                <w:sz w:val="18"/>
              </w:rPr>
              <w:t>+50.0pp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86</w:t>
            </w:r>
          </w:p>
        </w:tc>
        <w:tc>
          <w:tcPr>
            <w:tcW w:type="dxa" w:w="1578"/>
            <w:vAlign w:val="center"/>
          </w:tcPr>
          <w:p>
            <w:pPr>
              <w:spacing w:after="60" w:before="60" w:line="240" w:lineRule="auto"/>
            </w:pPr>
            <w:r>
              <w:rPr>
                <w:rFonts w:eastAsia="Noto Sans CJK SC"/>
                <w:b w:val="0"/>
                <w:sz w:val="18"/>
              </w:rPr>
              <w:t>10.5%</w:t>
            </w:r>
          </w:p>
        </w:tc>
        <w:tc>
          <w:tcPr>
            <w:tcW w:type="dxa" w:w="2045"/>
            <w:vAlign w:val="center"/>
          </w:tcPr>
          <w:p>
            <w:pPr>
              <w:spacing w:after="60" w:before="60" w:line="240" w:lineRule="auto"/>
            </w:pPr>
            <w:r>
              <w:rPr>
                <w:rFonts w:eastAsia="Noto Sans CJK SC"/>
                <w:b w:val="0"/>
                <w:sz w:val="18"/>
              </w:rPr>
              <w:t>16.3%</w:t>
            </w:r>
          </w:p>
        </w:tc>
        <w:tc>
          <w:tcPr>
            <w:tcW w:type="dxa" w:w="1811"/>
            <w:vAlign w:val="center"/>
          </w:tcPr>
          <w:p>
            <w:pPr>
              <w:spacing w:after="60" w:before="60" w:line="240" w:lineRule="auto"/>
            </w:pPr>
            <w:r>
              <w:rPr>
                <w:rFonts w:eastAsia="Noto Sans CJK SC"/>
                <w:b w:val="0"/>
                <w:sz w:val="18"/>
              </w:rPr>
              <w:t>+5.8pp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9</w:t>
            </w:r>
          </w:p>
        </w:tc>
        <w:tc>
          <w:tcPr>
            <w:tcW w:type="dxa" w:w="1578"/>
            <w:vAlign w:val="center"/>
          </w:tcPr>
          <w:p>
            <w:pPr>
              <w:spacing w:after="60" w:before="60" w:line="240" w:lineRule="auto"/>
            </w:pPr>
            <w:r>
              <w:rPr>
                <w:rFonts w:eastAsia="Noto Sans CJK SC"/>
                <w:b w:val="0"/>
                <w:sz w:val="18"/>
              </w:rPr>
              <w:t>11.1%</w:t>
            </w:r>
          </w:p>
        </w:tc>
        <w:tc>
          <w:tcPr>
            <w:tcW w:type="dxa" w:w="2045"/>
            <w:vAlign w:val="center"/>
          </w:tcPr>
          <w:p>
            <w:pPr>
              <w:spacing w:after="60" w:before="60" w:line="240" w:lineRule="auto"/>
            </w:pPr>
            <w:r>
              <w:rPr>
                <w:rFonts w:eastAsia="Noto Sans CJK SC"/>
                <w:b w:val="0"/>
                <w:sz w:val="18"/>
              </w:rPr>
              <w:t>33.3%</w:t>
            </w:r>
          </w:p>
        </w:tc>
        <w:tc>
          <w:tcPr>
            <w:tcW w:type="dxa" w:w="1811"/>
            <w:vAlign w:val="center"/>
          </w:tcPr>
          <w:p>
            <w:pPr>
              <w:spacing w:after="60" w:before="60" w:line="240" w:lineRule="auto"/>
            </w:pPr>
            <w:r>
              <w:rPr>
                <w:rFonts w:eastAsia="Noto Sans CJK SC"/>
                <w:b w:val="0"/>
                <w:sz w:val="18"/>
              </w:rPr>
              <w:t>+22.2pp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5</w:t>
            </w:r>
          </w:p>
        </w:tc>
        <w:tc>
          <w:tcPr>
            <w:tcW w:type="dxa" w:w="1578"/>
            <w:vAlign w:val="center"/>
          </w:tcPr>
          <w:p>
            <w:pPr>
              <w:spacing w:after="60" w:before="60" w:line="240" w:lineRule="auto"/>
            </w:pPr>
            <w:r>
              <w:rPr>
                <w:rFonts w:eastAsia="Noto Sans CJK SC"/>
                <w:b w:val="0"/>
                <w:sz w:val="18"/>
              </w:rPr>
              <w:t>20.0%</w:t>
            </w:r>
          </w:p>
        </w:tc>
        <w:tc>
          <w:tcPr>
            <w:tcW w:type="dxa" w:w="2045"/>
            <w:vAlign w:val="center"/>
          </w:tcPr>
          <w:p>
            <w:pPr>
              <w:spacing w:after="60" w:before="60" w:line="240" w:lineRule="auto"/>
            </w:pPr>
            <w:r>
              <w:rPr>
                <w:rFonts w:eastAsia="Noto Sans CJK SC"/>
                <w:b w:val="0"/>
                <w:sz w:val="18"/>
              </w:rPr>
              <w:t>0.0%</w:t>
            </w:r>
          </w:p>
        </w:tc>
        <w:tc>
          <w:tcPr>
            <w:tcW w:type="dxa" w:w="1811"/>
            <w:vAlign w:val="center"/>
          </w:tcPr>
          <w:p>
            <w:pPr>
              <w:spacing w:after="60" w:before="60" w:line="240" w:lineRule="auto"/>
            </w:pPr>
            <w:r>
              <w:rPr>
                <w:rFonts w:eastAsia="Noto Sans CJK SC"/>
                <w:b w:val="0"/>
                <w:sz w:val="18"/>
              </w:rPr>
              <w:t>−20.0pp</w:t>
            </w:r>
          </w:p>
        </w:tc>
      </w:tr>
    </w:tbl>
    <w:p>
      <w:pPr>
        <w:pStyle w:val="BodyText"/>
      </w:pPr>
      <w:r>
        <w:t xml:space="preserve">复杂度按答案推导的算术步数计（TAT-QA 推导式二元运算符、MultiHiertt 程序函数调用）。TAT-QA 上分解效应随复杂度单调上升（−27.1 → +21.1 → +50.0 个百分点），简单任务的损害高度集中（1–2 步层 Help 4／Harm 52，McNemar p≈1.1×10⁻¹¹）；MultiHiertt 未复现该趋势且各层区间均跨零。因此</w:t>
      </w:r>
      <w:r>
        <w:t xml:space="preserve">“</w:t>
      </w:r>
      <w:r>
        <w:t xml:space="preserve">何时值得拆分</w:t>
      </w:r>
      <w:r>
        <w:t xml:space="preserve">”</w:t>
      </w:r>
      <w:r>
        <w:t xml:space="preserve">的证据是复杂度依赖的：随推理复杂度增加，显式分解的相对价值呈上升趋势；3 步与 4 步以上子层样本很小（n=19、n=4），该分层仅作描述性机制证据，不构成</w:t>
      </w:r>
      <w:r>
        <w:t xml:space="preserve">“</w:t>
      </w:r>
      <w:r>
        <w:t xml:space="preserve">超过某步数必须拆分</w:t>
      </w:r>
      <w:r>
        <w:t xml:space="preserve">”</w:t>
      </w:r>
      <w:r>
        <w:t xml:space="preserve">的规则。成本口径：DAG 两臂平均 token 高于单体（总体 1737→2189），异构分工相比同模型分解几乎不增加 token；服务时间为同一推理环境下的观测值（Mono 2.63s、DAG-L/L 3.13s、DAG-L/M 3.08s），不解释为稳定算法加速。旧配对数字（MultiHiertt +14.0pp、TAT-QA −9.38pp）来自协议不净的历史采集（部分推理节点使用标准事实或回退标准事实、模型逐题变化），自本文起撤回，仅在早期探索记录中保留。</w:t>
      </w:r>
    </w:p>
    <w:p>
      <w:pPr>
        <w:pStyle w:val="Heading3"/>
      </w:pPr>
      <w:bookmarkStart w:id="52" w:name="距离有限组合空间的精确上界还有多远"/>
      <w:r>
        <w:t xml:space="preserve">5.4 距离有限组合空间的精确上界还有多远</w:t>
      </w:r>
      <w:bookmarkEnd w:id="52"/>
    </w:p>
    <w:p>
      <w:pPr>
        <w:pStyle w:val="FirstParagraph"/>
      </w:pPr>
      <w:r>
        <w:t xml:space="preserve">本节依据最终索引审计，逐任务枚举九种已执行组合，取最终正确性的最大值并平均。所有 200×9 个记录均有对应单元。</w:t>
      </w:r>
    </w:p>
    <w:p>
      <w:pPr>
        <w:pStyle w:val="BodyText"/>
        <w:keepNext/>
        <w:spacing w:before="160"/>
      </w:pPr>
      <w:r>
        <w:t xml:space="preserve">表 5-8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w:t>
      </w:r>
    </w:p>
    <w:p>
      <w:pPr>
        <w:pStyle w:val="BodyText"/>
      </w:pPr>
      <w:r>
        <w:t xml:space="preserve">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Heading3"/>
      </w:pPr>
      <w:bookmarkStart w:id="53" w:name="剩余差距能否可靠学习"/>
      <w:r>
        <w:t xml:space="preserve">5.5 剩余差距能否可靠学习</w:t>
      </w:r>
      <w:bookmarkEnd w:id="53"/>
    </w:p>
    <w:p>
      <w:pPr>
        <w:pStyle w:val="FirstParagraph"/>
      </w:pPr>
      <w:r>
        <w:t xml:space="preserve">剩余差距路由以 large 为强默认，使用 900 任务开发数据拟合两阶段选择器，固定阈值 τ=0.5 后分别评价较小 Conf-200 与较大 Conf-500。这里的 Oracle 仅取三条同模型传播链，与上一节九组合 Oracle 不同。</w:t>
      </w:r>
    </w:p>
    <w:p>
      <w:pPr>
        <w:pStyle w:val="BodyText"/>
        <w:keepNext/>
        <w:spacing w:before="160"/>
      </w:pPr>
      <w:r>
        <w:t xml:space="preserve">表 5-9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w:t>
      </w:r>
    </w:p>
    <w:p>
      <w:pPr>
        <w:pStyle w:val="BodyText"/>
      </w:pPr>
      <w:r>
        <w:t xml:space="preserve">在 Conf-200 上，能力画像路由与成对路由分别切换 135 和 137 次，质量为 0.16 和 0.15，低于默认的 0.19；两阶段策略只切换 4 次。该比较提示无充分依据的覆盖会引入损害，但不同选择器也改变评分方式，不能把差别全部归因于切换次数。</w:t>
      </w:r>
    </w:p>
    <w:p>
      <w:pPr>
        <w:pStyle w:val="BodyText"/>
      </w:pPr>
      <w:r>
        <w:t xml:space="preserve">Conf-500 的机制分析在 34 个仅 large 占优任务与 27 个替代者占优任务上，触发分数的诊断 AUC 为 0.458；medium 偏好分数仍有一定信号，但不保证触发和目标选择同时正确。这说明单模型成功可预测、相对优劣可排序以及最终路由有净收益，是不同层次的问题。</w:t>
      </w:r>
    </w:p>
    <w:p>
      <w:pPr>
        <w:pStyle w:val="Heading3"/>
      </w:pPr>
      <w:bookmarkStart w:id="54" w:name="低覆盖率选择为何相对安全"/>
      <w:r>
        <w:t xml:space="preserve">5.6 低覆盖率选择为何相对安全</w:t>
      </w:r>
      <w:bookmarkEnd w:id="54"/>
    </w:p>
    <w:p>
      <w:pPr>
        <w:pStyle w:val="FirstParagraph"/>
      </w:pPr>
      <w:r>
        <w:t xml:space="preserve">为分析覆盖默认策略的代价，既有研究将 900 开发任务、200 和 500 个已分析确认任务合并为 1,600 题开发语料，进行任务级五折预测与事后风险—覆盖率分析。运行时特征来自 large 的实际抽取和推理输出；这一评价不能再称为独立确认，也不等同于零执行成本的到达时路由。</w:t>
      </w:r>
    </w:p>
    <w:p>
      <w:pPr>
        <w:pStyle w:val="BodyText"/>
        <w:keepNext/>
        <w:spacing w:before="160"/>
      </w:pPr>
      <w:r>
        <w:t xml:space="preserve">表 5-10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w:t>
      </w:r>
    </w:p>
    <w:p>
      <w:pPr>
        <w:pStyle w:val="BodyText"/>
      </w:pPr>
      <w:r>
        <w:t xml:space="preserve">既有流程在折分前进行全体无标签特征标准化，且覆盖档位为事后解释，因此本节保留开发层级。没有新调整评分器或覆盖阈值，也不以本节结果撤销 Conf-500 未复现的结论。</w:t>
      </w:r>
    </w:p>
    <w:p>
      <w:pPr>
        <w:pStyle w:val="Heading3"/>
      </w:pPr>
      <w:bookmarkStart w:id="55" w:name="动态执行能否利用反馈调整后续策略"/>
      <w:r>
        <w:t xml:space="preserve">5.7 动态执行能否利用反馈调整后续策略</w:t>
      </w:r>
      <w:bookmarkEnd w:id="55"/>
    </w:p>
    <w:p>
      <w:pPr>
        <w:pStyle w:val="FirstParagraph"/>
      </w:pPr>
      <w:r>
        <w:t xml:space="preserve">最新动态对照使用已分析的 48 任务真实调用面板。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5-11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服务时长（秒）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个百分点包含零，差异不显著。第一版相应区间为 [−4.17,10.42]。第二版减少观察到的 Harm，同时也少一个 Help，总正确数未变化；其服务时间略高于静态，不能写成 Q/C/L 全面占优。</w:t>
      </w:r>
    </w:p>
    <w:p>
      <w:pPr>
        <w:pStyle w:val="BodyText"/>
      </w:pPr>
      <w:r>
        <w:t xml:space="preserve">实现中 25/48 个任务带重调度标记，包含局部回退，不能等同于多后继全局调整。token 预算违规为零，但预算基准取静态实际消耗的 1.2 倍，非到达时即可知道的预算。该面板此前已分析，不是未经接触的 held-out test。</w:t>
      </w:r>
    </w:p>
    <w:p>
      <w:pPr>
        <w:pStyle w:val="BodyText"/>
      </w:pPr>
      <w:r>
        <w:t xml:space="preserve">开发层受控故障提供补充机制证据：模型分配干预中出现 Help=2、Harm=0；证据缺失为 1／1，错误中间值为 0／0。无干预对照仍有一例损害，且原恢复率汇总存在计数错误，故本稿只保留已复核 Help/Harm，不据此宣称严格的单因素因果证明。动态策略能够利用某些既有替代机会，但不能保证修正所有上游错误。</w:t>
      </w:r>
    </w:p>
    <w:p>
      <w:pPr>
        <w:pStyle w:val="BodyText"/>
      </w:pPr>
      <w:r>
        <w:t xml:space="preserve">为把</w:t>
      </w:r>
      <w:r>
        <w:t xml:space="preserve">“</w:t>
      </w:r>
      <w:r>
        <w:t xml:space="preserve">+2 个百分点左右的小效应</w:t>
      </w:r>
      <w:r>
        <w:t xml:space="preserve">”</w:t>
      </w:r>
      <w:r>
        <w:t xml:space="preserve">与样本波动区分开，本文在 250 个全新的 TAT-QA train split 任务上做了一次性冻结确认（</w:t>
      </w:r>
      <w:r>
        <w:rPr>
          <w:rStyle w:val="VerbatimChar"/>
        </w:rPr>
        <w:t xml:space="preserve">dynamic_v2_confirm_250</w:t>
      </w:r>
      <w:r>
        <w:t xml:space="preserve">，策略与阈值同 48 任务面板逐字一致，选择规则与任务清单在任何调用前冻结并提交；与工作区全部历史工件零重叠）。结果：静态 103/250（41.2%）、动态 110/250（44.0%），配对 ΔQ = +2.8pp，任务级 bootstrap 95% CI [−0.8, +6.4] 覆盖零；McNemar 精确检验 b=13、c=6，p=0.167；Help/Harm = 13/6；平均 tokens 略低于静态（1,337.5 对 1,350.3），预算违规 0。按预注册三情形判定为情形二：</w:t>
      </w:r>
      <w:r>
        <w:rPr>
          <w:b/>
        </w:rPr>
        <w:t xml:space="preserve">方向在第二个独立面板复现（+2.1 → +2.8），规模一致，但统计上仍未确证</w:t>
      </w:r>
      <w:r>
        <w:t xml:space="preserve">。本文如实报告：动态第二版的端到端质量收益应描述为</w:t>
      </w:r>
      <w:r>
        <w:t xml:space="preserve">“</w:t>
      </w:r>
      <w:r>
        <w:t xml:space="preserve">在两个独立面板上方向一致的小幅正向信号</w:t>
      </w:r>
      <w:r>
        <w:t xml:space="preserve">”</w:t>
      </w:r>
      <w:r>
        <w:t xml:space="preserve">，不是已确证的改进；其可确证的价值仍是 harm 控制与零预算违规。</w:t>
      </w:r>
    </w:p>
    <w:p>
      <w:pPr>
        <w:pStyle w:val="BodyText"/>
      </w:pPr>
      <w:r>
        <w:t xml:space="preserve">多节点结构验证。上述两面板均为两节点链；为回应</w:t>
      </w:r>
      <w:r>
        <w:t xml:space="preserve">“</w:t>
      </w:r>
      <w:r>
        <w:t xml:space="preserve">自适应 DAG 与两阶段流水线有何区别</w:t>
      </w:r>
      <w:r>
        <w:t xml:space="preserve">”</w:t>
      </w:r>
      <w:r>
        <w:t xml:space="preserve">，本文构建了真实的四节点 DAG 面板（</w:t>
      </w:r>
      <w:r>
        <w:rPr>
          <w:rStyle w:val="VerbatimChar"/>
        </w:rPr>
        <w:t xml:space="preserve">multidag_dynamic_120</w:t>
      </w:r>
      <w:r>
        <w:t xml:space="preserve">，120 个全新任务，策略在任何调用前冻结并提交）：e1（表格抽取，large）与 e2（文本抽取，large）并联为分支，r（汇总表达式生成，medium）为汇合点，v（数值校验，coder）为尾节点；仅选择 gold 答案同时需要表格与文本区域的任务（TAT-QA answer_from = table-text），保证分支在结构上不可退化。两臂共享初始分配、prompt、生成配置与预算规则（1.2×静态实际消耗），失败检测为理想条件，差异仅为冻结的适应规则（静态：每失败节点一次本地回退 e→coder、r→coder、v→medium；动态：抽取失败记忆切换、r/v 升级 large 并受预算门控）。结果：静态 16.7%、动态 36.7%，配对 ΔQ = +20.0pp，95% CI [11.7, 28.3] 不含零；McNemar 精确检验 b=28、c=4，p≈1.9×10⁻⁵；Help/Harm = 28/4；动态成本略低（−90 tokens）、预算违规 0。选择性更新审计：933 次适配调用的每一次都属于某失败节点或其声明后代闭包（越界 0 次）；分支隔离检查 134 例全部通过——单侧分支失败时，干净分支从未被重执行，即</w:t>
      </w:r>
      <w:r>
        <w:rPr>
          <w:b/>
        </w:rPr>
        <w:t xml:space="preserve">只更新真正受影响的后代，从不全图重跑</w:t>
      </w:r>
      <w:r>
        <w:t xml:space="preserve">。这是本文第一次在含分支与汇合的多节点真实传播下得到 Dynamic 显著优于 Static 的证据。同时如实说明边界：区域受限抽取（仅表格或仅文本）的失败率（158/480 节点槽位）远高于全上下文抽取；校验尾节点几乎在所有任务上都触发适配，动态收益相当部分来自 r/v 升级 large；结论限于该任务结构、单域与理想失败检测条件。</w:t>
      </w:r>
    </w:p>
    <w:p>
      <w:pPr>
        <w:pStyle w:val="BodyText"/>
      </w:pPr>
      <w:r>
        <w:t xml:space="preserve">公平性与真实反馈消融（</w:t>
      </w:r>
      <w:r>
        <w:rPr>
          <w:rStyle w:val="VerbatimChar"/>
        </w:rPr>
        <w:t xml:space="preserve">multidag_ablation_120</w:t>
      </w:r>
      <w:r>
        <w:t xml:space="preserve">，两个预注册对照臂，同一冻结面板，830 次新调用）。</w:t>
      </w:r>
      <w:r>
        <w:rPr>
          <w:b/>
        </w:rPr>
        <w:t xml:space="preserve">Static-Matched 臂</w:t>
      </w:r>
      <w:r>
        <w:t xml:space="preserve">保持静态语义但将恢复目标换成动态的升级目标（r 失败→large、v 失败→large）：Q = 35.0%（+18.3pp，CI [10.0, 26.7]），完整动态策略 36.7%——策略超出目标选择的额外贡献仅 +1.7pp（CI [−4.2, +7.5]，McNemar p=0.77）。</w:t>
      </w:r>
      <w:r>
        <w:rPr>
          <w:b/>
        </w:rPr>
        <w:t xml:space="preserve">归因如实报告：主要质量增益来自</w:t>
      </w:r>
      <w:r>
        <w:rPr>
          <w:b/>
        </w:rPr>
        <w:t xml:space="preserve">“</w:t>
      </w:r>
      <w:r>
        <w:rPr>
          <w:b/>
        </w:rPr>
        <w:t xml:space="preserve">失败节点升级至最强未试模型</w:t>
      </w:r>
      <w:r>
        <w:rPr>
          <w:b/>
        </w:rPr>
        <w:t xml:space="preserve">”</w:t>
      </w:r>
      <w:r>
        <w:rPr>
          <w:b/>
        </w:rPr>
        <w:t xml:space="preserve">这一动作本身；动态框架的可确证价值在于以选择性更新与预算约束安全地承载该动作</w:t>
      </w:r>
      <w:r>
        <w:t xml:space="preserve">。</w:t>
      </w:r>
      <w:r>
        <w:rPr>
          <w:b/>
        </w:rPr>
        <w:t xml:space="preserve">Dynamic-RealDetector 臂</w:t>
      </w:r>
      <w:r>
        <w:t xml:space="preserve">将失败检测全部替换为部署可得信号（解析/执行检查加 v 与 r 的输出一致性，无 gold）：Q = 35.0%，</w:t>
      </w:r>
      <w:r>
        <w:rPr>
          <w:b/>
        </w:rPr>
        <w:t xml:space="preserve">增益保留率 91.7%</w:t>
      </w:r>
      <w:r>
        <w:t xml:space="preserve">（CI [77.8%, 100%]），与理想检测无显著差异（p=0.5），成本更低（2,459.5 tokens）。机制边界如实说明：尾节点一致性检查在本面板近乎全触发（离线审计已表明其退化为常发），等价于</w:t>
      </w:r>
      <w:r>
        <w:t xml:space="preserve">“</w:t>
      </w:r>
      <w:r>
        <w:t xml:space="preserve">尾节点总是请求更强模型复核</w:t>
      </w:r>
      <w:r>
        <w:t xml:space="preserve">”</w:t>
      </w:r>
      <w:r>
        <w:t xml:space="preserve">；r 节点的值错误检测不到，但该缺口在本面板代价很小。结论：</w:t>
      </w:r>
      <w:r>
        <w:rPr>
          <w:b/>
        </w:rPr>
        <w:t xml:space="preserve">动态 DAG 的收益不依赖 gold 失败信号</w:t>
      </w:r>
      <w:r>
        <w:t xml:space="preserve">。</w:t>
      </w:r>
    </w:p>
    <w:p>
      <w:pPr>
        <w:pStyle w:val="Heading3"/>
      </w:pPr>
      <w:bookmarkStart w:id="56" w:name="恢复预算与能力覆盖如何限制收益"/>
      <w:r>
        <w:t xml:space="preserve">5.8 恢复、预算与能力覆盖如何限制收益</w:t>
      </w:r>
      <w:bookmarkEnd w:id="56"/>
    </w:p>
    <w:p>
      <w:pPr>
        <w:pStyle w:val="Heading4"/>
      </w:pPr>
      <w:bookmarkStart w:id="57" w:name="真实失败与动作覆盖"/>
      <w:r>
        <w:t xml:space="preserve">5.8.1 真实失败与动作覆盖</w:t>
      </w:r>
      <w:bookmarkEnd w:id="57"/>
    </w:p>
    <w:p>
      <w:pPr>
        <w:pStyle w:val="FirstParagraph"/>
      </w:pPr>
      <w:r>
        <w:t xml:space="preserve">原 148 个缺陷节点中有 32 个原最终答案已正确，审计后恢复集合为 116 个节点、96 个任务。恢复以原最终答案错误为前提，避免将再次答对原本正确的任务计为救回。</w:t>
      </w:r>
    </w:p>
    <w:p>
      <w:pPr>
        <w:pStyle w:val="BodyText"/>
        <w:keepNext/>
        <w:spacing w:before="160"/>
      </w:pPr>
      <w:r>
        <w:t xml:space="preserve">表 5-12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当前主要限制包括动作集合本身覆盖不足；即使选择完全正确，也无法恢复该固定集合没有成功输出的节点。这一结论仅限该困难集合及固定模型、提示与动作，不是所有任务的唯一瓶颈。两个再次调用的真实恢复案例并未保持原提示，因此不证明零温度同提示重试有效。</w:t>
      </w:r>
    </w:p>
    <w:p>
      <w:pPr>
        <w:pStyle w:val="BodyText"/>
      </w:pPr>
      <w:r>
        <w:t xml:space="preserve">局部子图重规划在独立开发的 40 节点上仅成功 1 个，加入后动作并集仍为 4/40，新增覆盖为零，按既有规则判定 NO-GO。拓扑变化没有自动扩展覆盖，不作为本文正贡献。</w:t>
      </w:r>
    </w:p>
    <w:p>
      <w:pPr>
        <w:pStyle w:val="Heading4"/>
      </w:pPr>
      <w:bookmarkStart w:id="58" w:name="剩余预算与多目标权衡"/>
      <w:r>
        <w:t xml:space="preserve">5.8.2 剩余预算与多目标权衡</w:t>
      </w:r>
      <w:bookmarkEnd w:id="58"/>
    </w:p>
    <w:p>
      <w:pPr>
        <w:pStyle w:val="FirstParagraph"/>
      </w:pPr>
      <w:r>
        <w:t xml:space="preserve">预算响应面使用 116 节点的已测动作开销，在 11×7 个 token／服务时间档位上回放。</w:t>
      </w:r>
    </w:p>
    <w:p>
      <w:pPr>
        <w:pStyle w:val="BodyText"/>
        <w:keepNext/>
        <w:spacing w:before="160"/>
      </w:pPr>
      <w:r>
        <w:t xml:space="preserve">表 5-13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w:t>
      </w:r>
    </w:p>
    <w:p>
      <w:pPr>
        <w:pStyle w:val="BodyText"/>
      </w:pPr>
      <w:r>
        <w:t xml:space="preserve">在九组合面板中，固定 large 抽取的三种推理组合成本约 4,430—4,436 tokens，服务时间约 5.08—5.19 秒，质量分别为 20.0%、18.0%、20.5%。正常预算下它们的资源差异较小，质量是主要区分轴；三点在记录均值上存在非支配权衡，不能据极小资源差异断言稳定优势。预算收紧后，资源项转为可行性条件。该观察限于当前组合与环境，不扩展为所有模型池的共同性质。</w:t>
      </w:r>
    </w:p>
    <w:p>
      <w:pPr>
        <w:pStyle w:val="Heading4"/>
      </w:pPr>
      <w:bookmarkStart w:id="59" w:name="证据改善为何不必然带来正确答案"/>
      <w:r>
        <w:t xml:space="preserve">5.8.3 证据改善为何不必然带来正确答案</w:t>
      </w:r>
      <w:bookmarkEnd w:id="59"/>
    </w:p>
    <w:p>
      <w:pPr>
        <w:pStyle w:val="FirstParagraph"/>
      </w:pPr>
      <w:r>
        <w:t xml:space="preserve">已有结构感知解析诊断关注原同模型链共同失败的开发子集。零调用审计（</w:t>
      </w:r>
      <w:r>
        <w:rPr>
          <w:rStyle w:val="VerbatimChar"/>
        </w:rPr>
        <w:t xml:space="preserve">EVIDENCE_DIAGNOSIS_AUDIT.json</w:t>
      </w:r>
      <w:r>
        <w:t xml:space="preserve">，含 commit 与全部输入哈希）给出其可复核边界：25 个结构推理应答全部可解析，按冻结评分器重打分 Q = 0/25，与保存的评分汇总一致；</w:t>
      </w:r>
      <w:r>
        <w:rPr>
          <w:b/>
        </w:rPr>
        <w:t xml:space="preserve">但</w:t>
      </w:r>
      <w:r>
        <w:rPr>
          <w:b/>
        </w:rPr>
        <w:t xml:space="preserve">“</w:t>
      </w:r>
      <w:r>
        <w:rPr>
          <w:b/>
        </w:rPr>
        <w:t xml:space="preserve">25 条记录均覆盖必要操作数</w:t>
      </w:r>
      <w:r>
        <w:rPr>
          <w:b/>
        </w:rPr>
        <w:t xml:space="preserve">”</w:t>
      </w:r>
      <w:r>
        <w:rPr>
          <w:b/>
        </w:rPr>
        <w:t xml:space="preserve">这一早期工件不可复现</w:t>
      </w:r>
      <w:r>
        <w:t xml:space="preserve">——以当前版本化代码重算，top-30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臂没有已定位的冻结输出，相应口头数字（0%、4%）同样无审计工件支持。节点基准条件口径的 medium 推理 Q = 31% 属另一测量，不移植为该子集的成功率。作为补充，对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Heading4"/>
      </w:pPr>
      <w:bookmarkStart w:id="60" w:name="历史图复用的独立作用"/>
      <w:r>
        <w:t xml:space="preserve">5.8.4 历史图复用的独立作用</w:t>
      </w:r>
      <w:bookmarkEnd w:id="60"/>
    </w:p>
    <w:p>
      <w:pPr>
        <w:pStyle w:val="FirstParagraph"/>
      </w:pP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答案正确率。多轮复用不并入单轮动态正确率，图剪枝也不列为已验证贡献。</w:t>
      </w:r>
    </w:p>
    <w:p>
      <w:pPr>
        <w:pStyle w:val="Heading3"/>
      </w:pPr>
      <w:bookmarkStart w:id="61" w:name="跨域验证数学推理域负结果"/>
      <w:r>
        <w:t xml:space="preserve">5.9 跨域验证：数学推理域（负结果）</w:t>
      </w:r>
      <w:bookmarkEnd w:id="61"/>
    </w:p>
    <w:p>
      <w:pPr>
        <w:pStyle w:val="FirstParagraph"/>
      </w:pPr>
      <w:r>
        <w:t xml:space="preserve">为检验核心机制是否只在财务表格域成立，本文在 Math500 上执行冻结六臂对照（200 个数值可归一化任务，协议先提交后运行；三节点</w:t>
      </w:r>
      <w:r>
        <w:t xml:space="preserve">“</w:t>
      </w:r>
      <w:r>
        <w:t xml:space="preserve">数值抽取→表达式求解→数值校验</w:t>
      </w:r>
      <w:r>
        <w:t xml:space="preserve">”</w:t>
      </w:r>
      <w:r>
        <w:t xml:space="preserve">DAG 与财务域同构；失败检测全部为部署可得信号，运行时不使用标准答案；查询路由以冻结的面板中位 token 长度为阈值）。结果（</w:t>
      </w:r>
      <w:r>
        <w:rPr>
          <w:rStyle w:val="VerbatimChar"/>
        </w:rPr>
        <w:t xml:space="preserve">cross_domain_math/MATH_ANALYSIS.json</w:t>
      </w:r>
      <w:r>
        <w:t xml:space="preserve">）：单体 large 63.5% 显著最优（有限候选 Oracle 69.5%），查询路由 48.0%，单体 medium 37.0%；而三个 DAG 臂全部塌缩到 20.5%—21.5%，且代价更高（690—1,112 tokens）。三个预注册研究问题全部为负：分阶段分配劣于两个单体基线（RQ1 否定：−16.0pp 与 −42.5pp，均 p&lt;10⁻⁴）；节点级分配劣于查询路由（RQ2 否定：−27.0pp，p≈0）；Dynamic-Real 相对 Static 无任何维度改善（RQ3 否定：ΔQ = −1.0pp，CI [−4.5, +2.5]，p = 0.79；成本 +95.7 tokens、时延 +1.78s；预算违规 42/200；干预率 79.5%）。阶段诊断定位机制：抽取解析正常（193/200），但</w:t>
      </w:r>
      <w:r>
        <w:t xml:space="preserve">“</w:t>
      </w:r>
      <w:r>
        <w:t xml:space="preserve">数值事实 + 单条算术表达式</w:t>
      </w:r>
      <w:r>
        <w:t xml:space="preserve">”</w:t>
      </w:r>
      <w:r>
        <w:t xml:space="preserve">接口下求解值正确率仅 11.5%（表达式可执行率 54%）——多步数学推理所需的关系建模与代数变换无法被该接口表达，自由推理的单体模型因此占优；校验节点自由重算（21.0%）反而略好于受约束的表达式求解（11.5%）。</w:t>
      </w:r>
      <w:r>
        <w:rPr>
          <w:b/>
        </w:rPr>
        <w:t xml:space="preserve">结论：财务域的 DAG 收益依赖</w:t>
      </w:r>
      <w:r>
        <w:rPr>
          <w:b/>
        </w:rPr>
        <w:t xml:space="preserve">“</w:t>
      </w:r>
      <w:r>
        <w:rPr>
          <w:b/>
        </w:rPr>
        <w:t xml:space="preserve">任务可分解为数值抽取 + 算术表达式</w:t>
      </w:r>
      <w:r>
        <w:rPr>
          <w:b/>
        </w:rPr>
        <w:t xml:space="preserve">”</w:t>
      </w:r>
      <w:r>
        <w:rPr>
          <w:b/>
        </w:rPr>
        <w:t xml:space="preserve">的接口条件；接口表达力不足时，分解、阶段异构分配与动态适应同时失效</w:t>
      </w:r>
      <w:r>
        <w:t xml:space="preserve">。这与 5.2 分解基准的</w:t>
      </w:r>
      <w:r>
        <w:t xml:space="preserve">“</w:t>
      </w:r>
      <w:r>
        <w:t xml:space="preserve">拆分收益域依赖</w:t>
      </w:r>
      <w:r>
        <w:t xml:space="preserve">”</w:t>
      </w:r>
      <w:r>
        <w:t xml:space="preserve">一致，并将其推进为接口依赖；动态与静态在此无差异也再次印证能力/接口上限优先于调度策略的排序。该负结果按预注册协议原样保留，未做任何事后调整。</w:t>
      </w:r>
    </w:p>
    <w:p>
      <w:pPr>
        <w:pStyle w:val="Heading2"/>
      </w:pPr>
      <w:bookmarkStart w:id="62" w:name="讨论"/>
      <w:r>
        <w:t xml:space="preserve">6 讨论</w:t>
      </w:r>
      <w:bookmarkEnd w:id="62"/>
    </w:p>
    <w:p>
      <w:pPr>
        <w:pStyle w:val="Heading3"/>
      </w:pPr>
      <w:bookmarkStart w:id="63" w:name="条件能力与传播能力的区别"/>
      <w:r>
        <w:t xml:space="preserve">6.1 条件能力与传播能力的区别</w:t>
      </w:r>
      <w:bookmarkEnd w:id="63"/>
    </w:p>
    <w:p>
      <w:pPr>
        <w:pStyle w:val="FirstParagraph"/>
      </w:pPr>
      <w:r>
        <w:t xml:space="preserve">阶段评测揭示的是给定输入条件下的模型表现。条件化推理任务提供标准事实，使推理者主要承担关系识别与表达式构造；实际传播链则还要求上游正确识别数值、实体、期间与单位。即使推理模型本身不变，输入来源变化也会改变其可解任务集合。因此，条件节点 Oracle 是能力分析工具，不能直接作为完整执行的可达质量。</w:t>
      </w:r>
    </w:p>
    <w:p>
      <w:pPr>
        <w:pStyle w:val="BodyText"/>
      </w:pPr>
      <w:r>
        <w:t xml:space="preserve">跨模型矩阵为这一解释提供更直接的证据：固定 medium 或 coder 推理者，更换为 large 抽取后，最终质量提高。这说明同模型执行将不同阶段的强弱项绑定，可能使上游缺陷掩盖下游能力。DAG 的作用之一是使这种绑定可被打破。但现有矩阵尚不能识别输入质量变化的全部中介机制，也未证明每项组合差异均显著。尤其不能用不同任务集上的条件 Oracle 与传播 Oracle 之差，直接估计抽取噪声的因果效应。</w:t>
      </w:r>
    </w:p>
    <w:p>
      <w:pPr>
        <w:pStyle w:val="Heading3"/>
      </w:pPr>
      <w:bookmarkStart w:id="64" w:name="单模型可预测性不等于最优模型可路由性"/>
      <w:r>
        <w:t xml:space="preserve">6.2 单模型可预测性不等于最优模型可路由性</w:t>
      </w:r>
      <w:bookmarkEnd w:id="64"/>
    </w:p>
    <w:p>
      <w:pPr>
        <w:pStyle w:val="FirstParagraph"/>
      </w:pPr>
      <w:r>
        <w:t xml:space="preserve">单模型成功预测与相对模型选择具有不同目标。前者要求区分该模型容易或困难的任务，后者要求在模型意见不一致的少量任务上识别谁更好。多个模型可能同时在简单任务成功、在复杂任务失败；这会为单模型分类器提供明显信号，却不给模型切换提供收益。</w:t>
      </w:r>
    </w:p>
    <w:p>
      <w:pPr>
        <w:pStyle w:val="BodyText"/>
      </w:pPr>
      <w:r>
        <w:t xml:space="preserve">900 题画像中较高的成功预测 AUC 与未超过类型先验的路由质量并存，正体现了这一差别。AUC 对跨任务排序敏感，而路由收益还取决于同任务候选差异、评分可比性及切换错误的代价。类型先验与完整节点路由在独立节点确认面板上质量相同，也提示当前可稳定利用的结构主要是阶段差异，而不是细粒度实例表示。本文因此将贡献定位为阶段化分配及其执行接口，不把预测头的复杂程度或表示学习能力作为已获证明的优势。</w:t>
      </w:r>
    </w:p>
    <w:p>
      <w:pPr>
        <w:pStyle w:val="Heading3"/>
      </w:pPr>
      <w:bookmarkStart w:id="65" w:name="选择性干预的作用与边界"/>
      <w:r>
        <w:t xml:space="preserve">6.3 选择性干预的作用与边界</w:t>
      </w:r>
      <w:bookmarkEnd w:id="65"/>
    </w:p>
    <w:p>
      <w:pPr>
        <w:pStyle w:val="FirstParagraph"/>
      </w:pPr>
      <w:r>
        <w:t xml:space="preserve">强默认策略会使替代机会呈现不对称性：只有默认失败且替代者成功时覆盖才带来帮助，而覆盖默认已经正确的输出可能产生损害。限制干预范围有助于控制这种风险，但低覆盖率本身不是可靠性的充分条件；如果评分不能识别相对优势，少量切换也可能净损害。</w:t>
      </w:r>
    </w:p>
    <w:p>
      <w:pPr>
        <w:pStyle w:val="BodyText"/>
      </w:pPr>
      <w:r>
        <w:t xml:space="preserve">Conf-200 的正向信号没有在 Conf-500 上复现，表明当前选择器尚未稳定识别可覆盖机会。合并开发语料上的风险—覆盖率曲线进一步显示，扩大干预范围会引入更多 Harm，但该曲线不能为未来数据指定一个已验证的安全阈值。二者共同支持保守选择的设计动机，同时保留剩余差距仍可能被更可靠特征和校准方法利用的可能性。</w:t>
      </w:r>
    </w:p>
    <w:p>
      <w:pPr>
        <w:pStyle w:val="BodyText"/>
      </w:pPr>
      <w:r>
        <w:t xml:space="preserve">实验链现在可以把</w:t>
      </w:r>
      <w:r>
        <w:t xml:space="preserve">“</w:t>
      </w:r>
      <w:r>
        <w:t xml:space="preserve">分解—分工—适应</w:t>
      </w:r>
      <w:r>
        <w:t xml:space="preserve">”</w:t>
      </w:r>
      <w:r>
        <w:t xml:space="preserve">三层的价值分开计量：严格配对基准显示同模型拆分本身在 TAT-QA 上显著有害（−21.0pp）、MultiHiertt 上不显著（+6.0pp），而异构阶段分工在两域总体 +5.0pp 显著；多节点 DAG 上反馈条件化的动态控制在理想与真实检测下均显著超越静态。三层合读即是本文主线：</w:t>
      </w:r>
      <w:r>
        <w:rPr>
          <w:b/>
        </w:rPr>
        <w:t xml:space="preserve">分解打开阶段解耦接口，异构分工兑现能力互补，动态控制安全且有预算地调用强恢复动作</w:t>
      </w:r>
      <w:r>
        <w:t xml:space="preserve">。动态适应的价值随 DAG 结构深度显现。两节点链面板（48 与 250 任务）上动态第二版只给出方向一致但不显著的小幅正信号；而在含分支与汇合的四节点真实 DAG 上，同一族冻结适应规则带来 +20.0pp 的显著提升（CI 不含零，McNemar p≈1.9×10⁻⁵），且 933 次适配调用全部限于失败节点及其后代闭包、分支隔离零违例、预算违规为零。两个信息合起来读：</w:t>
      </w:r>
      <w:r>
        <w:rPr>
          <w:b/>
        </w:rPr>
        <w:t xml:space="preserve">选择性与预算约束下的动态适应，其收益与</w:t>
      </w:r>
      <w:r>
        <w:rPr>
          <w:b/>
        </w:rPr>
        <w:t xml:space="preserve">“</w:t>
      </w:r>
      <w:r>
        <w:rPr>
          <w:b/>
        </w:rPr>
        <w:t xml:space="preserve">失败能够局部化、受影响后代确实存在可利用替代</w:t>
      </w:r>
      <w:r>
        <w:rPr>
          <w:b/>
        </w:rPr>
        <w:t xml:space="preserve">”</w:t>
      </w:r>
      <w:r>
        <w:rPr>
          <w:b/>
        </w:rPr>
        <w:t xml:space="preserve">的结构条件成正比</w:t>
      </w:r>
      <w:r>
        <w:t xml:space="preserve">——两节点链上可局部化的失败太少，四节点 DAG 上失败可以在分支、汇合与尾节点三个层面被选择性吸收。两臂对照消融进一步把归因说清：把静态对照的恢复目标同样换成升级 large，即可获得 +18.3pp（35.0%），策略逻辑超出目标选择的贡献仅 +1.7pp（不显著）——该面板的主要质量增益来自</w:t>
      </w:r>
      <w:r>
        <w:t xml:space="preserve">“</w:t>
      </w:r>
      <w:r>
        <w:t xml:space="preserve">失败节点升级至最强未试模型</w:t>
      </w:r>
      <w:r>
        <w:t xml:space="preserve">”</w:t>
      </w:r>
      <w:r>
        <w:t xml:space="preserve">这一动作；动态框架的可确证价值在于以选择性更新、预算约束与审计纪律安全地承载它。同时，把失败检测全部替换为部署可得信号后增益保留 91.7%，说明该收益不依赖 gold 失败信号，但部分依赖尾节点一致性检查在本面板近乎全触发的退化特性。因此动态适应的价值仍应表述为对后继决策范围的控制证据与 harm 控制，而非普适的质量保证：结论限于单一任务域。</w:t>
      </w:r>
    </w:p>
    <w:p>
      <w:pPr>
        <w:pStyle w:val="Heading3"/>
      </w:pPr>
      <w:bookmarkStart w:id="66" w:name="能力覆盖与动作选择的不同上限"/>
      <w:r>
        <w:t xml:space="preserve">6.4 能力覆盖与动作选择的不同上限</w:t>
      </w:r>
      <w:bookmarkEnd w:id="66"/>
    </w:p>
    <w:p>
      <w:pPr>
        <w:pStyle w:val="FirstParagraph"/>
      </w:pPr>
      <w:r>
        <w:t xml:space="preserve">路由只能在候选执行结果之间选择。对于给定模型、提示、输入与动作集合，如果所有候选都失败，改进选择本身不能产生其中不存在的正确答案。这是固定候选集合的上限，不是对整个任务可解性的判断：更强模型、不同工具或新的输入表达仍可能改变候选集合。</w:t>
      </w:r>
    </w:p>
    <w:p>
      <w:pPr>
        <w:pStyle w:val="BodyText"/>
      </w:pPr>
      <w:r>
        <w:t xml:space="preserve">真实失败集合中四个动作的成功并集较小，局部重规划也没有新增覆盖，因而当前剩余限制不能简单归因于动作选得不够好。结构解析诊断还提示，找到数值并不等于理解其关系。必要操作数出现在候选证据中，仍可能伴随实体绑定、期间对齐和表达式构造错误。该困难子集的证据支持把模型与动作覆盖列为主要瓶颈之一，但不足以断言所有任务只受推理能力限制。完整标准事实诊断的配对来源尚未核实，其缺失也限制了对纯推理失败比例的进一步量化。</w:t>
      </w:r>
    </w:p>
    <w:p>
      <w:pPr>
        <w:pStyle w:val="Heading3"/>
      </w:pPr>
      <w:bookmarkStart w:id="67" w:name="资源约束与历史复用的作用层次"/>
      <w:r>
        <w:t xml:space="preserve">6.5 资源约束与历史复用的作用层次</w:t>
      </w:r>
      <w:bookmarkEnd w:id="67"/>
    </w:p>
    <w:p>
      <w:pPr>
        <w:pStyle w:val="FirstParagraph"/>
      </w:pPr>
      <w:r>
        <w:t xml:space="preserve">当前跨模型组合的平均资源开销接近，质量构成正常预算下的重要区分轴。这一事实不削弱资源约束的必要性：当剩余预算减少，额外调用是否可行会直接改变可恢复集合。预算响应面因此回答</w:t>
      </w:r>
      <w:r>
        <w:t xml:space="preserve">“</w:t>
      </w:r>
      <w:r>
        <w:t xml:space="preserve">已观测动作在给定预算内覆盖多少失败</w:t>
      </w:r>
      <w:r>
        <w:t xml:space="preserve">”</w:t>
      </w:r>
      <w:r>
        <w:t xml:space="preserve">，而不回答</w:t>
      </w:r>
      <w:r>
        <w:t xml:space="preserve">“</w:t>
      </w:r>
      <w:r>
        <w:t xml:space="preserve">系统能否准确预测线上开销并保证不超时</w:t>
      </w:r>
      <w:r>
        <w:t xml:space="preserve">”</w:t>
      </w:r>
      <w:r>
        <w:t xml:space="preserve">。两者需要不同证据。</w:t>
      </w:r>
    </w:p>
    <w:p>
      <w:pPr>
        <w:pStyle w:val="BodyText"/>
      </w:pPr>
      <w:r>
        <w:t xml:space="preserve">历史图复用解决另一类冗余，即相关追问重复处理未变化输入。它可以减少调用和 tokens，但不能自动纠正被复用的错误。当前图森林结果证明了特定修改型工作负载的局部重算机制，尚未证明多轮最终答案质量。把这类节省与单轮动态质量分开报告，有助于避免用资源指标替代正确性，也避免把缓存复用当作推理能力提升。</w:t>
      </w:r>
    </w:p>
    <w:p>
      <w:pPr>
        <w:pStyle w:val="Heading3"/>
      </w:pPr>
      <w:bookmarkStart w:id="68" w:name="有效性限制"/>
      <w:r>
        <w:t xml:space="preserve">6.6 有效性限制</w:t>
      </w:r>
      <w:bookmarkEnd w:id="68"/>
    </w:p>
    <w:p>
      <w:pPr>
        <w:pStyle w:val="FirstParagraph"/>
      </w:pPr>
      <w:r>
        <w:t xml:space="preserve">本文的上界、动态结果与诊断均有明确适用范围。第一，精确 Oracle 仅覆盖九种已枚举模型组合，完整动态策略空间没有求得全局最优。第二，动态真实调用实验规模有限，已用于开发分析，且失败检测读取评价答案，不能作为无理想反馈条件的在线验证。第三，条件节点、同模型传播、跨模型组合及失败恢复使用不同任务面板与估计对象，质量不可直接拼接。</w:t>
      </w:r>
    </w:p>
    <w:p>
      <w:pPr>
        <w:pStyle w:val="BodyText"/>
      </w:pPr>
      <w:r>
        <w:t xml:space="preserve">第四，当前模型池存在大量共同失败，且成本和服务时间的异质性有限，结果未必迁移到能力跨度更大的模型池或不同硬件。第五，剩余差距路由的确认收益不稳定，合并语料后的交叉验证只提供事后机制解释。第六，困难子集的恢复与证据诊断存在选择偏差，部分历史结果缺少完整配对记录。第七，服务时间不包含全部启动、排队与调度开销，tokens 也不等同于货币成本。以上限制共同决定本文证据更适合支持阶段互补、执行边界与选择性适应的分析，而非宣称一个在所有复杂任务上全面占优的系统。</w:t>
      </w:r>
    </w:p>
    <w:p>
      <w:pPr>
        <w:pStyle w:val="Heading3"/>
      </w:pPr>
      <w:bookmarkStart w:id="69" w:name="跨域负结果的机制含义"/>
      <w:r>
        <w:t xml:space="preserve">6.9 跨域负结果的机制含义</w:t>
      </w:r>
      <w:bookmarkEnd w:id="69"/>
    </w:p>
    <w:p>
      <w:pPr>
        <w:pStyle w:val="FirstParagraph"/>
      </w:pPr>
      <w:r>
        <w:t xml:space="preserve">Math500 六臂对照给出三个预注册问题的全负结果，且失败被定位在接口层而非调度层：抽取正常、表达式可执行过半，但</w:t>
      </w:r>
      <w:r>
        <w:t xml:space="preserve">“</w:t>
      </w:r>
      <w:r>
        <w:t xml:space="preserve">数值事实 + 单条算术表达式</w:t>
      </w:r>
      <w:r>
        <w:t xml:space="preserve">”</w:t>
      </w:r>
      <w:r>
        <w:t xml:space="preserve">接口的求解正确率仅 11.5%，三个 DAG 臂塌缩到约 21%，而自由推理的单体 large 达 63.5%；动态与静态在塌缩区间内无差异。这为财务域的正结果划出明确边界：</w:t>
      </w:r>
      <w:r>
        <w:rPr>
          <w:b/>
        </w:rPr>
        <w:t xml:space="preserve">DAG 化的收益条件是任务可自然表达为</w:t>
      </w:r>
      <w:r>
        <w:rPr>
          <w:b/>
        </w:rPr>
        <w:t xml:space="preserve">“</w:t>
      </w:r>
      <w:r>
        <w:rPr>
          <w:b/>
        </w:rPr>
        <w:t xml:space="preserve">结构化证据抽取 + 确定性可执行计算</w:t>
      </w:r>
      <w:r>
        <w:rPr>
          <w:b/>
        </w:rPr>
        <w:t xml:space="preserve">”</w:t>
      </w:r>
      <w:r>
        <w:rPr>
          <w:b/>
        </w:rPr>
        <w:t xml:space="preserve">，当接口本身丢失完成任务所需的表达能力时，分解、异构分配与动态适应会同时失效</w:t>
      </w:r>
      <w:r>
        <w:t xml:space="preserve">——能力/接口上限对调度策略的优先序在两个方向上都被观察到。对代码类任务，</w:t>
      </w:r>
      <w:r>
        <w:t xml:space="preserve">“</w:t>
      </w:r>
      <w:r>
        <w:t xml:space="preserve">理解→生成→单元测试→修复</w:t>
      </w:r>
      <w:r>
        <w:t xml:space="preserve">”</w:t>
      </w:r>
      <w:r>
        <w:t xml:space="preserve">的分解天然满足可执行接口条件，是检验该边界假设的下一自然实验。</w:t>
      </w:r>
      <w:r>
        <w:t xml:space="preserve"> </w:t>
      </w:r>
      <w:r>
        <w:t xml:space="preserve">## 7 结论</w:t>
      </w:r>
    </w:p>
    <w:p>
      <w:pPr>
        <w:pStyle w:val="BodyText"/>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实验支持阶段级互补真实存在：冻结节点路由相对查询路由提高约 6.9 个百分点，主要增益可由类型先验解释。跨模型传播进一步表明，上游来源能够改变下游能力的表现，独立分配阶段模型可以解除同模型链的能力绑定。然而，单模型成功的可预测性没有转化为稳定的剩余差距路由收益，较大确认集也未复现较小确认集的正向信号。动态适应的价值在两节点链与多节点 DAG 上呈现梯度：两节点链上为方向一致但未确证的小幅正信号（48 任务 +2.1pp、250 任务冻结确认 +2.8pp，CI 均覆盖零）；在含分支与汇合的四节点真实 DAG 上，选择性动态适应显著优于静态执行（+20.0pp，CI 不含零，Help/Harm 28/4），933 次适配调用全部限于受影响后代、分支隔离零违例、预算违规为零。消融归因表明主要增益来自失败节点升级至最强未试模型的动作（同目标静态对照已达 35.0%），部署可得的解析/执行与一致性检测可保留其中 91.7%——动态收益不依赖理想失败检测，其框架价值在于安全、选择性且可审计地承载该动作；结论仍限于单域面板。</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w:t>
      </w:r>
    </w:p>
    <w:p>
      <w:pPr>
        <w:pStyle w:val="BodyText"/>
      </w:pPr>
      <w:r>
        <w:t xml:space="preserve">这些结论受限于枚举的 3×3 组合空间、尚未优化的完整动态策略空间、大量共同失败、有限的成本与时延异质性、不稳定的剩余路由泛化，以及困难子集上较低的恢复覆盖。未来可研究更强且更异质的模型、扩展现有确定性执行器的符号与程序能力、更丰富的工具支持和证据推理、更可靠的选择性覆盖，以及更大动态策略空间中的近似最优决策。这些方向不属于本文已经完成并验证的机制。</w:t>
      </w:r>
    </w:p>
    <w:p>
      <w:pPr>
        <w:pStyle w:val="Heading2"/>
      </w:pPr>
      <w:bookmarkStart w:id="70" w:name="参考文献"/>
      <w:r>
        <w:t xml:space="preserve">参考文献</w:t>
      </w:r>
      <w:bookmarkEnd w:id="70"/>
    </w:p>
    <w:p>
      <w:pPr>
        <w:pStyle w:val="FirstParagraph"/>
      </w:pPr>
      <w:r>
        <w:t xml:space="preserve">[1] Ong, I., et al. RouteLLM: Learning to Route LLMs with Preference Data. 2024. arXiv:2406.18665.</w:t>
      </w:r>
      <w:r>
        <w:t xml:space="preserve"> </w:t>
      </w:r>
      <w:hyperlink r:id="rId71">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72">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73">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74">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75">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76">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77">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7" Type="http://schemas.openxmlformats.org/officeDocument/2006/relationships/hyperlink" Target="https://aclanthology.org/2021.acl-long.254/" TargetMode="External"/><Relationship Id="rId76" Type="http://schemas.openxmlformats.org/officeDocument/2006/relationships/hyperlink" Target="https://aclanthology.org/2022.acl-long.454/" TargetMode="External"/><Relationship Id="rId74" Type="http://schemas.openxmlformats.org/officeDocument/2006/relationships/hyperlink" Target="https://arxiv.org/abs/2303.17651" TargetMode="External"/><Relationship Id="rId72" Type="http://schemas.openxmlformats.org/officeDocument/2006/relationships/hyperlink" Target="https://arxiv.org/abs/2305.05176" TargetMode="External"/><Relationship Id="rId71" Type="http://schemas.openxmlformats.org/officeDocument/2006/relationships/hyperlink" Target="https://arxiv.org/abs/2406.18665" TargetMode="External"/><Relationship Id="rId75" Type="http://schemas.openxmlformats.org/officeDocument/2006/relationships/hyperlink" Target="https://arxiv.org/abs/2409.07429" TargetMode="External"/><Relationship Id="rId73"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7" Type="http://schemas.openxmlformats.org/officeDocument/2006/relationships/hyperlink" Target="https://aclanthology.org/2021.acl-long.254/" TargetMode="External"/><Relationship Id="rId76" Type="http://schemas.openxmlformats.org/officeDocument/2006/relationships/hyperlink" Target="https://aclanthology.org/2022.acl-long.454/" TargetMode="External"/><Relationship Id="rId74" Type="http://schemas.openxmlformats.org/officeDocument/2006/relationships/hyperlink" Target="https://arxiv.org/abs/2303.17651" TargetMode="External"/><Relationship Id="rId72" Type="http://schemas.openxmlformats.org/officeDocument/2006/relationships/hyperlink" Target="https://arxiv.org/abs/2305.05176" TargetMode="External"/><Relationship Id="rId71" Type="http://schemas.openxmlformats.org/officeDocument/2006/relationships/hyperlink" Target="https://arxiv.org/abs/2406.18665" TargetMode="External"/><Relationship Id="rId75" Type="http://schemas.openxmlformats.org/officeDocument/2006/relationships/hyperlink" Target="https://arxiv.org/abs/2409.07429" TargetMode="External"/><Relationship Id="rId73"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2026-09-21T10:07:56Z</dcterms:created>
  <dcterms:modified xsi:type="dcterms:W3CDTF">2026-09-21T10:07:56Z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