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复杂任务包含信息抽取、关系推理和结果验证等不同能力需求，针对完整查询选择单一模型难以利用执行阶段间的模型互补。本文将异构大型语言模型视为智能体执行单元，提出面向复杂任务的多智能体 DAG 协同调度框架，将能力画像、节点级智能体分配、反馈驱动的动态执行与质量—成本—时延多目标调度相结合。实验表明：不同执行阶段存在可利用的异构能力差异，节点级分配比查询级路由提高条件化节点质量约 6.9 个百分点，但路由机会不等价于可学习的路由信号，条件能力也不等价于传播能力。严格配对三臂分解基准（300 任务）显示，同模型拆分在 TAT-QA 上显著有害（−21.0 个百分点），异构分工追回 +5.0 个百分点但未完全抵消分解损耗——分解的价值在于解除阶段能力绑定，而非普遍提高推理精度。四节点 DAG 面板上反馈驱动的动态执行显著优于静态执行（+20.0 个百分点），归因消融显示主要增益来自恢复动作本身。选择性分解门控在 5 折交叉拟合中超过单体基线 +3.3 个百分点，同时超过强制分解 +10.3 个百分点，在多目标策略选择比较中实现最小 Oracle Gap（6.0 个百分点）。跨域验证（财务、数学、代码）与外部方法比较划定适用边界：多智能体 DAG 协同并非天然带来性能提升，其有效性取决于阶段能力匹配、节点接口表达能力和运行反馈可诊断性——静态非支配权衡的存在也不保证动态优化收益。本文的贡献定位于多智能体协同调度的机制刻画与优化边界分析，而非普适的质量提升方法。</w:t>
      </w:r>
    </w:p>
    <w:p>
      <w:pPr>
        <w:pStyle w:val="BodyText"/>
      </w:pPr>
      <w:r>
        <w:rPr>
          <w:b/>
        </w:rPr>
        <w:t xml:space="preserve">关键词：</w:t>
      </w:r>
      <w:r>
        <w:t xml:space="preserve"> </w:t>
      </w:r>
      <w:r>
        <w:t xml:space="preserve">多智能体协同调度；异构大语言模型；任务有向无环图；多目标优化；反馈驱动执行；适用边界</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：不同执行阶段是否存在可利用的异构智能体能力差异，节点级调度能否比查询级路由更有效地利用这些差异？（对应 4.2）</w:t>
      </w:r>
    </w:p>
    <w:p>
      <w:pPr>
        <w:numPr>
          <w:ilvl w:val="0"/>
          <w:numId w:val="1001"/>
        </w:numPr>
        <w:pStyle w:val="Compact"/>
      </w:pPr>
      <w:r>
        <w:rPr>
          <w:b/>
        </w:rPr>
        <w:t xml:space="preserve">RQ2</w:t>
      </w:r>
      <w:r>
        <w:t xml:space="preserve">：任务 DAG 分解与反馈驱动动态调度分别产生什么收益、代价及其归因？（对应 4.3，跨域边界见 4.5）</w:t>
      </w:r>
    </w:p>
    <w:p>
      <w:pPr>
        <w:numPr>
          <w:ilvl w:val="0"/>
          <w:numId w:val="1001"/>
        </w:numPr>
        <w:pStyle w:val="Compact"/>
      </w:pPr>
      <w:r>
        <w:rPr>
          <w:b/>
        </w:rPr>
        <w:t xml:space="preserve">RQ3</w:t>
      </w:r>
      <w:r>
        <w:t xml:space="preserve">：在质量—成本—时延联合目标下，异构智能体调度何时存在可利用的 Pareto 优化空间，运行反馈又在什么条件下能够将静态 Pareto 机会转化为动态优化收益？（对应 4.4，跨域边界见 4.5）</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Q/C/L 多目标协同调度及优化边界</w:t>
      </w:r>
      <w:r>
        <w:t xml:space="preserve">。将异构智能体 DAG 执行形式化为质量—成本—时延联合优化问题，设计反馈驱动、剩余预算约束的后继局部 Pareto 重优化机制 FLARE-DAG。实验验证了候选执行策略之间存在真实的非支配权衡，同时通过逐任务分析给出反馈触发式动态调度的可恢复收益上界</w:t>
      </w:r>
      <w:r>
        <w:t xml:space="preserve"> </w:t>
      </w:r>
      <m:oMath>
        <m:r>
          <m:t>Δ</m:t>
        </m:r>
        <m:r>
          <m:t>Q</m:t>
        </m:r>
        <m:r>
          <m:t>≤</m:t>
        </m:r>
        <m:r>
          <m:t>|</m:t>
        </m:r>
        <m:r>
          <m:t>R</m:t>
        </m:r>
        <m:r>
          <m:t>∩</m:t>
        </m:r>
        <m:r>
          <m:t>D</m:t>
        </m:r>
        <m:r>
          <m:t>|</m:t>
        </m:r>
        <m:r>
          <m:t>/</m:t>
        </m:r>
        <m:r>
          <m:t>N</m:t>
        </m:r>
      </m:oMath>
      <w:r>
        <w:t xml:space="preserve">，揭示 Pareto 机会并不必然转化为可实现的动态优化收益，其有效性进一步受到 Pareto 多样性、可恢复能力互补性和反馈可诊断性的共同制约。</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4.3、4.5），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Heading3"/>
      </w:pPr>
      <w:bookmarkStart w:id="44" w:name="反馈驱动的多目标局部重优化"/>
      <w:r>
        <w:t xml:space="preserve">3.11 反馈驱动的多目标局部重优化</w:t>
      </w:r>
      <w:bookmarkEnd w:id="44"/>
    </w:p>
    <w:p>
      <w:pPr>
        <w:pStyle w:val="FirstParagraph"/>
      </w:pPr>
      <w:r>
        <w:t xml:space="preserve">为同时考虑任务质量、执行成本与响应时延，本文将 DAG 中的智能体协同调度建模为多目标执行决策问题。对于调度策略</w:t>
      </w:r>
      <w:r>
        <w:t xml:space="preserve"> </w:t>
      </w:r>
      <m:oMath>
        <m:r>
          <m:t>π</m:t>
        </m:r>
      </m:oMath>
      <w:r>
        <w:t xml:space="preserve">，定义任务质量、执行成本和端到端时延分别为</w:t>
      </w:r>
      <w:r>
        <w:t xml:space="preserve"> </w:t>
      </w:r>
      <m:oMath>
        <m:r>
          <m:t>Q</m:t>
        </m:r>
        <m:r>
          <m:t>(</m:t>
        </m:r>
        <m:r>
          <m:t>π</m:t>
        </m:r>
        <m:r>
          <m:t>)</m:t>
        </m:r>
      </m:oMath>
      <w:r>
        <w:t xml:space="preserve">、</w:t>
      </w:r>
      <m:oMath>
        <m:r>
          <m:t>C</m:t>
        </m:r>
        <m:r>
          <m:t>(</m:t>
        </m:r>
        <m:r>
          <m:t>π</m:t>
        </m:r>
        <m:r>
          <m:t>)</m:t>
        </m:r>
      </m:oMath>
      <w:r>
        <w:t xml:space="preserve"> </w:t>
      </w:r>
      <w:r>
        <w:t xml:space="preserve">和</w:t>
      </w:r>
      <w:r>
        <w:t xml:space="preserve"> </w:t>
      </w:r>
      <m:oMath>
        <m:r>
          <m:t>L</m:t>
        </m:r>
        <m:r>
          <m:t>(</m:t>
        </m:r>
        <m:r>
          <m:t>π</m:t>
        </m:r>
        <m:r>
          <m:t>)</m:t>
        </m:r>
      </m:oMath>
      <w:r>
        <w:t xml:space="preserve">，优化目标表示为</w:t>
      </w:r>
    </w:p>
    <w:p>
      <w:pPr>
        <w:pStyle w:val="BodyText"/>
      </w:pPr>
      <m:oMathPara>
        <m:oMathParaPr>
          <m:jc m:val="center"/>
        </m:oMathParaPr>
        <m:oMath>
          <m:limLow>
            <m:e>
              <m:r>
                <m:rPr>
                  <m:nor/>
                  <m:sty m:val="p"/>
                </m:rPr>
                <m:t>max</m:t>
              </m:r>
            </m:e>
            <m:lim>
              <m:r>
                <m:t>π</m:t>
              </m:r>
            </m:lim>
          </m:limLow>
          <m:r>
            <m:t>Q</m:t>
          </m:r>
          <m:r>
            <m:t>(</m:t>
          </m:r>
          <m:r>
            <m:t>π</m:t>
          </m:r>
          <m:r>
            <m:t>)</m:t>
          </m:r>
          <m:r>
            <m:t>,</m:t>
          </m:r>
          <m:r>
            <m:t>  </m:t>
          </m:r>
          <m:limLow>
            <m:e>
              <m:r>
                <m:rPr>
                  <m:nor/>
                  <m:sty m:val="p"/>
                </m:rPr>
                <m:t>min</m:t>
              </m:r>
            </m:e>
            <m:lim>
              <m:r>
                <m:t>π</m:t>
              </m:r>
            </m:lim>
          </m:limLow>
          <m:r>
            <m:t>C</m:t>
          </m:r>
          <m:r>
            <m:t>(</m:t>
          </m:r>
          <m:r>
            <m:t>π</m:t>
          </m:r>
          <m:r>
            <m:t>)</m:t>
          </m:r>
          <m:r>
            <m:t>,</m:t>
          </m:r>
          <m:r>
            <m:t>  </m:t>
          </m:r>
          <m:limLow>
            <m:e>
              <m:r>
                <m:rPr>
                  <m:nor/>
                  <m:sty m:val="p"/>
                </m:rPr>
                <m:t>min</m:t>
              </m:r>
            </m:e>
            <m:lim>
              <m:r>
                <m:t>π</m:t>
              </m:r>
            </m:lim>
          </m:limLow>
          <m:r>
            <m:t>L</m:t>
          </m:r>
          <m:r>
            <m:t>(</m:t>
          </m:r>
          <m:r>
            <m:t>π</m:t>
          </m:r>
          <m:r>
            <m:t>)</m:t>
          </m:r>
          <m:r>
            <m:t>.</m:t>
          </m:r>
        </m:oMath>
      </m:oMathPara>
    </w:p>
    <w:p>
      <w:pPr>
        <w:pStyle w:val="FirstParagraph"/>
      </w:pPr>
      <w:r>
        <w:t xml:space="preserve">其中，时延按照 DAG 的关键执行路径计算，以反映并行节点对端到端响应时间的影响。</w:t>
      </w:r>
    </w:p>
    <w:p>
      <w:pPr>
        <w:pStyle w:val="BodyText"/>
      </w:pPr>
      <w:r>
        <w:t xml:space="preserve">在静态 Pareto 调度基础上，本文进一步设计反馈驱动的后继局部重优化机制 FLARE-DAG。设节点</w:t>
      </w:r>
      <w:r>
        <w:t xml:space="preserve"> </w:t>
      </w:r>
      <m:oMath>
        <m:sSub>
          <m:e>
            <m:r>
              <m:t>v</m:t>
            </m:r>
          </m:e>
          <m:sub>
            <m:r>
              <m:t>i</m:t>
            </m:r>
          </m:sub>
        </m:sSub>
      </m:oMath>
      <w:r>
        <w:t xml:space="preserve"> </w:t>
      </w:r>
      <w:r>
        <w:t xml:space="preserve">执行后产生运行反馈</w:t>
      </w:r>
      <w:r>
        <w:t xml:space="preserve"> </w:t>
      </w:r>
      <m:oMath>
        <m:sSub>
          <m:e>
            <m:r>
              <m:t>f</m:t>
            </m:r>
          </m:e>
          <m:sub>
            <m:r>
              <m:t>i</m:t>
            </m:r>
          </m:sub>
        </m:sSub>
      </m:oMath>
      <w:r>
        <w:t xml:space="preserve">，上游实际输出为</w:t>
      </w:r>
      <w:r>
        <w:t xml:space="preserve"> </w:t>
      </w:r>
      <m:oMath>
        <m:sSub>
          <m:e>
            <m:r>
              <m:t>z</m:t>
            </m:r>
          </m:e>
          <m:sub>
            <m:r>
              <m:t>i</m:t>
            </m:r>
          </m:sub>
        </m:sSub>
      </m:oMath>
      <w:r>
        <w:t xml:space="preserve">，则候选智能体的条件能力估计表示为</w:t>
      </w:r>
      <w:r>
        <w:t xml:space="preserve"> </w:t>
      </w:r>
      <m:oMath>
        <m:sSub>
          <m:e>
            <m:acc>
              <m:accPr>
                <m:chr m:val="̂"/>
              </m:accPr>
              <m:e>
                <m:r>
                  <m:t>q</m:t>
                </m:r>
              </m:e>
            </m:acc>
          </m:e>
          <m:sub>
            <m:r>
              <m:t>i</m:t>
            </m:r>
          </m:sub>
        </m:sSub>
        <m:r>
          <m:t>(</m:t>
        </m:r>
        <m:r>
          <m:t>m</m:t>
        </m:r>
        <m:r>
          <m:t>∣</m:t>
        </m:r>
        <m:sSub>
          <m:e>
            <m:r>
              <m:t>z</m:t>
            </m:r>
          </m:e>
          <m:sub>
            <m:r>
              <m:t>i</m:t>
            </m:r>
          </m:sub>
        </m:sSub>
        <m:r>
          <m:t>,</m:t>
        </m:r>
        <m:sSub>
          <m:e>
            <m:r>
              <m:t>f</m:t>
            </m:r>
          </m:e>
          <m:sub>
            <m:r>
              <m:t>i</m:t>
            </m:r>
          </m:sub>
        </m:sSub>
        <m:r>
          <m:t>)</m:t>
        </m:r>
      </m:oMath>
      <w:r>
        <w:t xml:space="preserve">。当运行反馈表明当前执行存在异常时，仅提取失败节点及其后继闭包</w:t>
      </w:r>
      <w:r>
        <w:t xml:space="preserve"> </w:t>
      </w:r>
      <m:oMath>
        <m:r>
          <m:rPr>
            <m:sty m:val="p"/>
            <m:scr m:val="script"/>
          </m:rPr>
          <m:t>A</m:t>
        </m:r>
        <m:r>
          <m:t>(</m:t>
        </m:r>
        <m:sSub>
          <m:e>
            <m:r>
              <m:t>v</m:t>
            </m:r>
          </m:e>
          <m:sub>
            <m:r>
              <m:t>i</m:t>
            </m:r>
          </m:sub>
        </m:sSub>
        <m:r>
          <m:t>)</m:t>
        </m:r>
        <m:r>
          <m:t>=</m:t>
        </m:r>
        <m:r>
          <m:t>{</m:t>
        </m:r>
        <m:sSub>
          <m:e>
            <m:r>
              <m:t>v</m:t>
            </m:r>
          </m:e>
          <m:sub>
            <m:r>
              <m:t>i</m:t>
            </m:r>
          </m:sub>
        </m:sSub>
        <m:r>
          <m:t>}</m:t>
        </m:r>
        <m:r>
          <m:t>∪</m:t>
        </m:r>
        <m:r>
          <m:rPr>
            <m:sty m:val="p"/>
          </m:rPr>
          <m:t>D</m:t>
        </m:r>
        <m:r>
          <m:rPr>
            <m:sty m:val="p"/>
          </m:rPr>
          <m:t>e</m:t>
        </m:r>
        <m:r>
          <m:rPr>
            <m:sty m:val="p"/>
          </m:rPr>
          <m:t>s</m:t>
        </m:r>
        <m:r>
          <m:rPr>
            <m:sty m:val="p"/>
          </m:rPr>
          <m:t>c</m:t>
        </m:r>
        <m:r>
          <m:t>(</m:t>
        </m:r>
        <m:sSub>
          <m:e>
            <m:r>
              <m:t>v</m:t>
            </m:r>
          </m:e>
          <m:sub>
            <m:r>
              <m:t>i</m:t>
            </m:r>
          </m:sub>
        </m:sSub>
        <m:r>
          <m:t>)</m:t>
        </m:r>
      </m:oMath>
      <w:r>
        <w:t xml:space="preserve">，已成功完成且不受依赖传播影响的其他分支保持不变。根据已消耗资源更新剩余预算</w:t>
      </w:r>
      <w:r>
        <w:t xml:space="preserve"> </w:t>
      </w:r>
      <m:oMath>
        <m:sSub>
          <m:e>
            <m:r>
              <m:t>C</m:t>
            </m:r>
          </m:e>
          <m:sub>
            <m:r>
              <m:rPr>
                <m:sty m:val="p"/>
              </m:rPr>
              <m:t>r</m:t>
            </m:r>
            <m:r>
              <m:rPr>
                <m:sty m:val="p"/>
              </m:rPr>
              <m:t>e</m:t>
            </m:r>
            <m:r>
              <m:rPr>
                <m:sty m:val="p"/>
              </m:rPr>
              <m:t>m</m:t>
            </m:r>
          </m:sub>
        </m:sSub>
        <m:r>
          <m:t>=</m:t>
        </m:r>
        <m:sSub>
          <m:e>
            <m:r>
              <m:t>B</m:t>
            </m:r>
          </m:e>
          <m:sub>
            <m:r>
              <m:t>C</m:t>
            </m:r>
          </m:sub>
        </m:sSub>
        <m:r>
          <m:t>−</m:t>
        </m:r>
        <m:sSub>
          <m:e>
            <m:r>
              <m:t>C</m:t>
            </m:r>
          </m:e>
          <m:sub>
            <m:r>
              <m:rPr>
                <m:sty m:val="p"/>
              </m:rPr>
              <m:t>u</m:t>
            </m:r>
            <m:r>
              <m:rPr>
                <m:sty m:val="p"/>
              </m:rPr>
              <m:t>s</m:t>
            </m:r>
            <m:r>
              <m:rPr>
                <m:sty m:val="p"/>
              </m:rPr>
              <m:t>e</m:t>
            </m:r>
            <m:r>
              <m:rPr>
                <m:sty m:val="p"/>
              </m:rPr>
              <m:t>d</m:t>
            </m:r>
          </m:sub>
        </m:sSub>
      </m:oMath>
      <w:r>
        <w:t xml:space="preserve">、</w:t>
      </w:r>
      <m:oMath>
        <m:sSub>
          <m:e>
            <m:r>
              <m:t>L</m:t>
            </m:r>
          </m:e>
          <m:sub>
            <m:r>
              <m:rPr>
                <m:sty m:val="p"/>
              </m:rPr>
              <m:t>r</m:t>
            </m:r>
            <m:r>
              <m:rPr>
                <m:sty m:val="p"/>
              </m:rPr>
              <m:t>e</m:t>
            </m:r>
            <m:r>
              <m:rPr>
                <m:sty m:val="p"/>
              </m:rPr>
              <m:t>m</m:t>
            </m:r>
          </m:sub>
        </m:sSub>
        <m:r>
          <m:t>=</m:t>
        </m:r>
        <m:sSub>
          <m:e>
            <m:r>
              <m:t>B</m:t>
            </m:r>
          </m:e>
          <m:sub>
            <m:r>
              <m:t>L</m:t>
            </m:r>
          </m:sub>
        </m:sSub>
        <m:r>
          <m:t>−</m:t>
        </m:r>
        <m:sSub>
          <m:e>
            <m:r>
              <m:t>L</m:t>
            </m:r>
          </m:e>
          <m:sub>
            <m:r>
              <m:rPr>
                <m:sty m:val="p"/>
              </m:rPr>
              <m:t>u</m:t>
            </m:r>
            <m:r>
              <m:rPr>
                <m:sty m:val="p"/>
              </m:rPr>
              <m:t>s</m:t>
            </m:r>
            <m:r>
              <m:rPr>
                <m:sty m:val="p"/>
              </m:rPr>
              <m:t>e</m:t>
            </m:r>
            <m:r>
              <m:rPr>
                <m:sty m:val="p"/>
              </m:rPr>
              <m:t>d</m:t>
            </m:r>
          </m:sub>
        </m:sSub>
      </m:oMath>
      <w:r>
        <w:t xml:space="preserve">，随后仅在受影响子图内重新构造满足剩余预算约束的非支配候选集合，形成</w:t>
      </w:r>
    </w:p>
    <w:p>
      <w:pPr>
        <w:pStyle w:val="BodyText"/>
      </w:pPr>
      <m:oMathPara>
        <m:oMathParaPr>
          <m:jc m:val="center"/>
        </m:oMathParaPr>
        <m:oMath>
          <m:sSub>
            <m:e>
              <m:r>
                <m:t>f</m:t>
              </m:r>
            </m:e>
            <m:sub>
              <m:r>
                <m:t>i</m:t>
              </m:r>
            </m:sub>
          </m:sSub>
          <m:r>
            <m:t>→</m:t>
          </m:r>
          <m:sSub>
            <m:e>
              <m:acc>
                <m:accPr>
                  <m:chr m:val="̂"/>
                </m:accPr>
                <m:e>
                  <m:r>
                    <m:t>q</m:t>
                  </m:r>
                </m:e>
              </m:acc>
            </m:e>
            <m:sub>
              <m:r>
                <m:t>i</m:t>
              </m:r>
            </m:sub>
          </m:sSub>
          <m:r>
            <m:t>(</m:t>
          </m:r>
          <m:r>
            <m:t>m</m:t>
          </m:r>
          <m:r>
            <m:t>∣</m:t>
          </m:r>
          <m:sSub>
            <m:e>
              <m:r>
                <m:t>z</m:t>
              </m:r>
            </m:e>
            <m:sub>
              <m:r>
                <m:t>i</m:t>
              </m:r>
            </m:sub>
          </m:sSub>
          <m:r>
            <m:t>,</m:t>
          </m:r>
          <m:sSub>
            <m:e>
              <m:r>
                <m:t>f</m:t>
              </m:r>
            </m:e>
            <m:sub>
              <m:r>
                <m:t>i</m:t>
              </m:r>
            </m:sub>
          </m:sSub>
          <m:r>
            <m:t>)</m:t>
          </m:r>
          <m:r>
            <m:t>→</m:t>
          </m:r>
          <m:r>
            <m:t>G</m:t>
          </m:r>
          <m:r>
            <m:t>[</m:t>
          </m:r>
          <m:r>
            <m:rPr>
              <m:sty m:val="p"/>
              <m:scr m:val="script"/>
            </m:rPr>
            <m:t>A</m:t>
          </m:r>
          <m:r>
            <m:t>(</m:t>
          </m:r>
          <m:sSub>
            <m:e>
              <m:r>
                <m:t>v</m:t>
              </m:r>
            </m:e>
            <m:sub>
              <m:r>
                <m:t>i</m:t>
              </m:r>
            </m:sub>
          </m:sSub>
          <m:r>
            <m:t>)</m:t>
          </m:r>
          <m:r>
            <m:t>]</m:t>
          </m:r>
          <m:r>
            <m:t>→</m:t>
          </m:r>
          <m:r>
            <m:t>(</m:t>
          </m:r>
          <m:sSub>
            <m:e>
              <m:r>
                <m:t>C</m:t>
              </m:r>
            </m:e>
            <m:sub>
              <m:r>
                <m:rPr>
                  <m:sty m:val="p"/>
                </m:rPr>
                <m:t>r</m:t>
              </m:r>
              <m:r>
                <m:rPr>
                  <m:sty m:val="p"/>
                </m:rPr>
                <m:t>e</m:t>
              </m:r>
              <m:r>
                <m:rPr>
                  <m:sty m:val="p"/>
                </m:rPr>
                <m:t>m</m:t>
              </m:r>
            </m:sub>
          </m:sSub>
          <m:r>
            <m:t>,</m:t>
          </m:r>
          <m:sSub>
            <m:e>
              <m:r>
                <m:t>L</m:t>
              </m:r>
            </m:e>
            <m:sub>
              <m:r>
                <m:rPr>
                  <m:sty m:val="p"/>
                </m:rPr>
                <m:t>r</m:t>
              </m:r>
              <m:r>
                <m:rPr>
                  <m:sty m:val="p"/>
                </m:rPr>
                <m:t>e</m:t>
              </m:r>
              <m:r>
                <m:rPr>
                  <m:sty m:val="p"/>
                </m:rPr>
                <m:t>m</m:t>
              </m:r>
            </m:sub>
          </m:sSub>
          <m:r>
            <m:t>)</m:t>
          </m:r>
          <m:r>
            <m:t>→</m:t>
          </m:r>
          <m:r>
            <m:rPr>
              <m:nor/>
              <m:sty m:val="p"/>
            </m:rPr>
            <m:t>Local Pareto Re-optimization</m:t>
          </m:r>
        </m:oMath>
      </m:oMathPara>
    </w:p>
    <w:p>
      <w:pPr>
        <w:pStyle w:val="FirstParagraph"/>
      </w:pPr>
      <w:r>
        <w:t xml:space="preserve">的反馈闭环。</w:t>
      </w:r>
    </w:p>
    <w:p>
      <w:pPr>
        <w:pStyle w:val="BodyText"/>
      </w:pPr>
      <w:r>
        <w:t xml:space="preserve">对于动态优化收益的可实现性，本文进一步给出形式化上界。定义可恢复机会</w:t>
      </w:r>
      <w:r>
        <w:t xml:space="preserve"> </w:t>
      </w:r>
      <m:oMath>
        <m:r>
          <m:t>R</m:t>
        </m:r>
        <m:r>
          <m:t>(</m:t>
        </m:r>
        <m:r>
          <m:t>x</m:t>
        </m:r>
        <m:r>
          <m:t>)</m:t>
        </m:r>
      </m:oMath>
      <w:r>
        <w:t xml:space="preserve"> </w:t>
      </w:r>
      <w:r>
        <w:t xml:space="preserve">为当前策略执行错误但候选策略集合中至少存在一种策略能够正确完成任务，部署反馈触发</w:t>
      </w:r>
      <w:r>
        <w:t xml:space="preserve"> </w:t>
      </w:r>
      <m:oMath>
        <m:r>
          <m:t>D</m:t>
        </m:r>
        <m:r>
          <m:t>(</m:t>
        </m:r>
        <m:r>
          <m:t>x</m:t>
        </m:r>
        <m:r>
          <m:t>)</m:t>
        </m:r>
      </m:oMath>
      <w:r>
        <w:t xml:space="preserve"> </w:t>
      </w:r>
      <w:r>
        <w:t xml:space="preserve">为运行时信号检测到异常。任何仅依赖部署反馈触发候选策略切换的动态调度器，其可实现的最大质量增益受到以下约束：</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5" w:name="实验"/>
      <w:r>
        <w:t xml:space="preserve">4 实验</w:t>
      </w:r>
      <w:bookmarkEnd w:id="45"/>
    </w:p>
    <w:p>
      <w:pPr>
        <w:pStyle w:val="FirstParagraph"/>
      </w:pPr>
      <w:r>
        <w:t xml:space="preserve">本章按三个研究问题组织冻结证据：4.2 检验阶段能力与节点级分配，4.3 区分分解、恢复动作和动态调用机制的贡献，4.4 检验 Q/C/L Pareto 空间及动态收益条件，4.5 提供跨域与外部方法参照。所有结果沿用已有冻结面板、记录与评价口径，不新增模型调用或实验；既有证据来源见 FINAL_CLAIM_AUDIT.md，多目标结果对应已提交的 frp_dag 冻结记录。</w:t>
      </w:r>
    </w:p>
    <w:p>
      <w:pPr>
        <w:pStyle w:val="Heading3"/>
      </w:pPr>
      <w:bookmarkStart w:id="46" w:name="实验设置与评价口径"/>
      <w:r>
        <w:t xml:space="preserve">4.1 实验设置与评价口径</w:t>
      </w:r>
      <w:bookmarkEnd w:id="46"/>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推理服务环境采集；本文不把观测服务时延总和称为包含加载、排队、调度的端到端墙钟延迟，也不从不同历史服务配置推断硬件加速。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。Q（Quality）须按评价层级区分：条件化节点质量是指定输入条件下节点评分器的平均分；端到端任务质量是最终答案正确的任务比例。两种口径不可互换，节点级约 +6.9pp 不表示端到端任务准确率提高。C（Cost）记录 tokens，调用次数单独计算；L（Latency）采用记录的观测服务时延，不解释为硬件无关的系统延迟。Help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本章由 4.2 回答 RQ1、4.3 回答 RQ2、4.4 回答 RQ3；4.5 的跨域与外部方法比较共同提供 RQ2 和 RQ3 的边界证据。</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BodyText"/>
      </w:pPr>
      <w:r>
        <w:rPr>
          <w:b/>
        </w:rPr>
        <w:t xml:space="preserve">执行配置与比较对象。</w:t>
      </w:r>
      <w:r>
        <w:t xml:space="preserve"> </w:t>
      </w:r>
      <w:r>
        <w:t xml:space="preserve">Static 保持冻结的初始分配及局部回退；Dynamic 按已有运行反馈规则选择性调整失败节点与受影响后继。理想检测臂与部署检测臂分别标注，不混同其信息条件。候选策略包括固定模型、查询/节点路由、固定跨模型组合、Static/Static-Matched/Dynamic，以及 MC、LC、ML 的 Q/C/L 比较；不同 Oracle 仅覆盖各自已执行候选集合。RouteLLM-style adapted baseline、FrugalGPT-style adapted baseline 和 Self-Refine-style adapted baseline 的特殊配置见 4.5。统一 88 个 common tasks 的多目标结果来自已有四节点面板的开发/受控机制分析，不作为新的独立泛化确认。</w:t>
      </w:r>
    </w:p>
    <w:p>
      <w:pPr>
        <w:pStyle w:val="Heading3"/>
      </w:pPr>
      <w:bookmarkStart w:id="47" w:name="执行策略空间构建与协同决策粒度分析"/>
      <w:r>
        <w:t xml:space="preserve">4.2 执行策略空间构建与协同决策粒度分析</w:t>
      </w:r>
      <w:bookmarkEnd w:id="47"/>
    </w:p>
    <w:p>
      <w:pPr>
        <w:pStyle w:val="FirstParagraph"/>
      </w:pPr>
      <w:r>
        <w:rPr>
          <w:b/>
        </w:rPr>
        <w:t xml:space="preserve">RQ1：不同执行阶段是否存在可利用的异构智能体能力差异，节点级调度能否比查询级路由更有效地利用这些差异？</w:t>
      </w:r>
    </w:p>
    <w:p>
      <w:pPr>
        <w:pStyle w:val="BodyText"/>
      </w:pPr>
      <w:r>
        <w:rPr>
          <w:b/>
        </w:rPr>
        <w:t xml:space="preserve">阶段能力异质性。</w:t>
      </w:r>
      <w:r>
        <w:t xml:space="preserve">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使用事后标签，不能直接证明这些机会可被输入特征预测——该问题由下文的冻结确认与残差路由诊断检验。</w:t>
      </w:r>
    </w:p>
    <w:p>
      <w:pPr>
        <w:pStyle w:val="BodyText"/>
      </w:pPr>
      <w:r>
        <w:rPr>
          <w:b/>
        </w:rPr>
        <w:t xml:space="preserve">节点级调度与查询级路由。</w:t>
      </w:r>
      <w:r>
        <w:t xml:space="preserve"> </w:t>
      </w:r>
      <w:r>
        <w:t xml:space="preserve">将上述能力差异转化为分配问题：稳定收益来自阶段/类型粒度，还是来自强实例级学习器。节点路由相对查询路由的条件化节点质量提高 6.90 个百分点，并减少记录中的 token 与观测服务时延（表 4-3）。</w:t>
      </w:r>
    </w:p>
    <w:p>
      <w:pPr>
        <w:pStyle w:val="BodyText"/>
        <w:keepNext/>
        <w:spacing w:before="160"/>
      </w:pPr>
      <w:r>
        <w:t xml:space="preserve">表 4-3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每任务观测服务时延总和（秒）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rPr>
          <w:b/>
        </w:rPr>
        <w:t xml:space="preserve">能力机会的实现限制。</w:t>
      </w:r>
      <w:r>
        <w:t xml:space="preserve"> </w:t>
      </w:r>
      <w:r>
        <w:t xml:space="preserve">剩余差距能否由实例级信号稳定利用？剩余差距路由以 large 为强默认，使用 900 任务开发数据拟合两阶段选择器，固定阈值 τ=0.5 后分别评价较小 Conf-200 与较大 Conf-500（表 4-4）。这里的 Oracle 仅取三条同模型传播链，与下文九组合 Oracle 不同。</w:t>
      </w:r>
    </w:p>
    <w:p>
      <w:pPr>
        <w:pStyle w:val="BodyText"/>
        <w:keepNext/>
        <w:spacing w:before="160"/>
      </w:pPr>
      <w:r>
        <w:t xml:space="preserve">表 4-4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4-5）。运行时特征来自 large 的实际抽取和推理输出；这一评价不能再称为独立确认，也不等同于零执行成本的到达时路由。</w:t>
      </w:r>
    </w:p>
    <w:p>
      <w:pPr>
        <w:pStyle w:val="BodyText"/>
        <w:keepNext/>
        <w:spacing w:before="160"/>
      </w:pPr>
      <w:r>
        <w:t xml:space="preserve">表 4-5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BodyText"/>
      </w:pPr>
      <w:r>
        <w:t xml:space="preserve">900 任务画像使推理模型消费同模型实际抽取结果，测量传播链能力（表 4-6 与表 4-7）。任务级五折交叉验证保持同任务节点同折。</w:t>
      </w:r>
    </w:p>
    <w:p>
      <w:pPr>
        <w:pStyle w:val="BodyText"/>
        <w:keepNext/>
        <w:spacing w:before="160"/>
      </w:pPr>
      <w:r>
        <w:t xml:space="preserve">表 4-6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p>
      <w:pPr>
        <w:pStyle w:val="BodyText"/>
        <w:keepNext/>
        <w:spacing w:before="160"/>
      </w:pPr>
      <w:r>
        <w:t xml:space="preserve">表 4-7 传播画像中的路由质量</w:t>
      </w:r>
    </w:p>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冻结审计值，不采用无冻结来源的传播差距。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BodyText"/>
      </w:pPr>
      <w:r>
        <w:t xml:space="preserve">在能力画像的 200 任务子集上，实际执行三个抽取模型与三个推理模型的九种组合，推理者消费对应抽取者输出（表 4-8）。该子集用于开发机制分析，不是 Conf-200 确认集。</w:t>
      </w:r>
    </w:p>
    <w:p>
      <w:pPr>
        <w:pStyle w:val="BodyText"/>
        <w:keepNext/>
        <w:spacing w:before="160"/>
      </w:pPr>
      <w:r>
        <w:t xml:space="preserve">表 4-8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4-9。保持推理者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4-9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BodyText"/>
      </w:pPr>
      <w:r>
        <w:t xml:space="preserve">异构阶段能力真实存在，节点粒度能够更充分利用这些差异；但 Routing Opportunity ≠ Learnable Routing Signal，Conditional Capability ≠ Propagated Capability。</w:t>
      </w:r>
    </w:p>
    <w:p>
      <w:pPr>
        <w:pStyle w:val="Heading3"/>
      </w:pPr>
      <w:bookmarkStart w:id="48" w:name="任务分解与反馈调度的收益及归因"/>
      <w:r>
        <w:t xml:space="preserve">4.3 任务分解与反馈调度的收益及归因</w:t>
      </w:r>
      <w:bookmarkEnd w:id="48"/>
    </w:p>
    <w:p>
      <w:pPr>
        <w:pStyle w:val="FirstParagraph"/>
      </w:pPr>
      <w:r>
        <w:rPr>
          <w:b/>
        </w:rPr>
        <w:t xml:space="preserve">RQ2：任务 DAG 分解与反馈驱动动态调度分别产生什么收益、代价及其归因？</w:t>
      </w:r>
    </w:p>
    <w:p>
      <w:pPr>
        <w:pStyle w:val="BodyText"/>
      </w:pPr>
      <w:r>
        <w:rPr>
          <w:b/>
        </w:rPr>
        <w:t xml:space="preserve">DAG 分解与 Static 执行。</w:t>
      </w:r>
      <w:r>
        <w:t xml:space="preserve"> </w:t>
      </w: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4-10 只改变</w:t>
      </w:r>
      <w:r>
        <w:t xml:space="preserve">“</w:t>
      </w:r>
      <w:r>
        <w:t xml:space="preserve">是否拆分</w:t>
      </w:r>
      <w:r>
        <w:t xml:space="preserve">”</w:t>
      </w:r>
      <w:r>
        <w:t xml:space="preserve">，表 4-11 只改变</w:t>
      </w:r>
      <w:r>
        <w:t xml:space="preserve">“</w:t>
      </w:r>
      <w:r>
        <w:t xml:space="preserve">推理模型</w:t>
      </w:r>
      <w:r>
        <w:t xml:space="preserve">”</w:t>
      </w:r>
      <w:r>
        <w:t xml:space="preserve">。</w:t>
      </w:r>
    </w:p>
    <w:p>
      <w:pPr>
        <w:pStyle w:val="BodyText"/>
        <w:keepNext/>
        <w:spacing w:before="160"/>
      </w:pPr>
      <w:r>
        <w:t xml:space="preserve">表 4-10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4-12）。</w:t>
      </w:r>
    </w:p>
    <w:p>
      <w:pPr>
        <w:pStyle w:val="BodyText"/>
        <w:keepNext/>
        <w:spacing w:before="160"/>
      </w:pPr>
      <w:r>
        <w:t xml:space="preserve">表 4-11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4-12 复杂度分层下的分解效应（表 4-10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token；观测服务时延为同一推理环境下的观测值（Mono 2.63s、DAG-L/L 3.13s、DAG-L/M 3.08s），不解释为稳定算法加速。历史协议不净的配对结果已撤回，仅在早期探索记录中保留；本节仅采用上述严格配对三臂基准。</w:t>
      </w:r>
    </w:p>
    <w:p>
      <w:pPr>
        <w:pStyle w:val="BodyText"/>
      </w:pPr>
      <w:r>
        <w:rPr>
          <w:b/>
        </w:rPr>
        <w:t xml:space="preserve">Static、Static-Matched 与 Dynamic 的归因比较。</w:t>
      </w:r>
      <w:r>
        <w:t xml:space="preserve"> </w:t>
      </w: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会被误读为调度器本身的贡献。两节点链对照使用已分析的 48 任务真实调用面板（表 4-13）。静态允许局部回退，动态使用反馈更新执行选择。第二版复用已记录的静态前缀并执行分歧请求；真实上游输出进入下游，但推理失败检测与失败计数读取评价答案，属于理想失败检测条件下的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4-13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观测服务时延（秒）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Help，总正确数未变化；其观测服务时延略高于静态，不能写成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4-14。</w:t>
      </w:r>
    </w:p>
    <w:p>
      <w:pPr>
        <w:pStyle w:val="BodyText"/>
        <w:keepNext/>
        <w:spacing w:before="160"/>
      </w:pPr>
      <w:r>
        <w:t xml:space="preserve">表 4-14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Dynamic-Ideal（理想检测）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选择性调整保留强默认，仅在已有反馈规则支持时覆盖既有安排。选择性更新审计：933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BodyText"/>
      </w:pPr>
      <w:r>
        <w:rPr>
          <w:b/>
        </w:rPr>
        <w:t xml:space="preserve">故障与恢复机制。</w:t>
      </w:r>
      <w:r>
        <w:t xml:space="preserve"> </w:t>
      </w:r>
      <w:r>
        <w:t xml:space="preserve">本节回答：反馈驱动的调整最多能兑现多少，取决于候选动作集合里有什么。</w:t>
      </w:r>
    </w:p>
    <w:p>
      <w:pPr>
        <w:pStyle w:val="BodyText"/>
      </w:pPr>
      <w:r>
        <w:rPr>
          <w:b/>
        </w:rPr>
        <w:t xml:space="preserve">真实失败与动作覆盖。</w:t>
      </w:r>
    </w:p>
    <w:p>
      <w:pPr>
        <w:pStyle w:val="BodyText"/>
      </w:pPr>
      <w:r>
        <w:t xml:space="preserve">原 148 个缺陷节点中有 32 个原最终答案已正确，审计后恢复集合为 116 个节点、96 个任务（表 4-15）。恢复以原最终答案错误为前提，避免将再次答对原本正确的任务计为救回。</w:t>
      </w:r>
    </w:p>
    <w:p>
      <w:pPr>
        <w:pStyle w:val="BodyText"/>
        <w:keepNext/>
        <w:spacing w:before="160"/>
      </w:pPr>
      <w:r>
        <w:t xml:space="preserve">表 4-15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BodyText"/>
      </w:pPr>
      <w:r>
        <w:rPr>
          <w:b/>
        </w:rPr>
        <w:t xml:space="preserve">剩余预算约束。</w:t>
      </w:r>
    </w:p>
    <w:p>
      <w:pPr>
        <w:pStyle w:val="BodyText"/>
      </w:pPr>
      <w:r>
        <w:t xml:space="preserve">预算响应面使用 116 节点的已测动作开销，在 11×7 个 token／观测服务时延档位上回放（表 4-16）。</w:t>
      </w:r>
    </w:p>
    <w:p>
      <w:pPr>
        <w:pStyle w:val="BodyText"/>
        <w:keepNext/>
        <w:spacing w:before="160"/>
      </w:pPr>
      <w:r>
        <w:t xml:space="preserve">表 4-16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tokens，观测服务时延约 5.08—5.19 秒，质量分别为 20.0%、18.0%、20.5%。正常预算下它们的资源差异较小，质量是主要区分轴；预算收紧后，资源项转为可行性条件。该观察限于当前组合与环境，不扩展为所有模型池的共同性质。</w:t>
      </w:r>
    </w:p>
    <w:p>
      <w:pPr>
        <w:pStyle w:val="BodyText"/>
      </w:pPr>
      <w:r>
        <w:rPr>
          <w:b/>
        </w:rPr>
        <w:t xml:space="preserve">证据改善为何不必然带来正确答案。</w:t>
      </w:r>
    </w:p>
    <w:p>
      <w:pPr>
        <w:pStyle w:val="BodyText"/>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BodyText"/>
      </w:pPr>
      <w:r>
        <w:t xml:space="preserve">当前恢复瓶颈在于动作覆盖，而不只是动作选择。Dynamic 不创造模型池中不存在的能力，而是控制已有能力何时、何处以及以何种代价被调用。</w:t>
      </w:r>
    </w:p>
    <w:p>
      <w:pPr>
        <w:pStyle w:val="BodyText"/>
      </w:pPr>
      <w:r>
        <w:rPr>
          <w:b/>
        </w:rPr>
        <w:t xml:space="preserve">Graph Forest：历史 DAG 与执行复用。</w:t>
      </w:r>
      <w:r>
        <w:t xml:space="preserve"> </w:t>
      </w: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答案正确率。多轮复用不并入单轮动态正确率，大规模剪枝尚未验证，不列为已验证贡献。</w:t>
      </w:r>
      <w:r>
        <w:rPr>
          <w:b/>
        </w:rPr>
        <w:t xml:space="preserve">该结果保持辅助机制定位：复用只节省算力，不创造新能力</w:t>
      </w:r>
      <w:r>
        <w:t xml:space="preserve">。</w:t>
      </w:r>
    </w:p>
    <w:p>
      <w:pPr>
        <w:pStyle w:val="Heading3"/>
      </w:pPr>
      <w:bookmarkStart w:id="49" w:name="pareto-感知的多目标协同调度"/>
      <w:r>
        <w:t xml:space="preserve">4.4 Pareto 感知的多目标协同调度</w:t>
      </w:r>
      <w:bookmarkEnd w:id="49"/>
    </w:p>
    <w:p>
      <w:pPr>
        <w:pStyle w:val="FirstParagraph"/>
      </w:pPr>
      <w:r>
        <w:rPr>
          <w:b/>
        </w:rPr>
        <w:t xml:space="preserve">RQ3：在质量—成本—时延联合目标下，异构智能体调度何时存在可利用的 Pareto 优化空间，运行反馈又在什么条件下能够将静态 Pareto 机会转化为动态优化收益？</w:t>
      </w:r>
    </w:p>
    <w:p>
      <w:pPr>
        <w:pStyle w:val="BodyText"/>
      </w:pPr>
      <w:r>
        <w:rPr>
          <w:b/>
        </w:rPr>
        <w:t xml:space="preserve">Phase 1：静态 Pareto 空间。</w:t>
      </w:r>
      <w:r>
        <w:t xml:space="preserve"> </w:t>
      </w:r>
      <w:r>
        <w:t xml:space="preserve">本阶段使用统一 88 个 common tasks，保持 e1/e2 为 large，比较 r/v 的三个已有组合。按冻结的整链 Q/C/L 审计口径，MC（r=medium，v=coder，n=88）为 Q=0.182、C=1549 tokens、L=3.20 s；LC（r=large，v=coder，n=88）为 Q=0.205、C=1592 tokens、L=3.26 s；ML（r=medium，v=large，n=88）为 Q=0.159、C=1662 tokens、L=4.77 s。Q 与 C 按上述精度四舍五入展示，冻结记录不变；L 是按 DAG 关键路径聚合的观测服务时延，不是硬件无关的系统延迟。</w:t>
      </w:r>
    </w:p>
    <w:p>
      <w:pPr>
        <w:pStyle w:val="BodyText"/>
      </w:pPr>
      <w:r>
        <w:t xml:space="preserve">MC 与 LC 均非支配：MC 的成本与观测服务时延更低，LC 的质量更高；ML 被 MC 和 LC 支配。因此当前模型池与 DAG 结构中存在经验 Q/C/L Pareto trade-off。本阶段只证明经验 Pareto 空间存在，不据此声称 LC 显著优于 MC。</w:t>
      </w:r>
    </w:p>
    <w:p>
      <w:pPr>
        <w:pStyle w:val="BodyText"/>
      </w:pPr>
      <w:r>
        <w:rPr>
          <w:b/>
        </w:rPr>
        <w:t xml:space="preserve">Phase 2：FLARE-DAG 动态局部重优化。</w:t>
      </w:r>
      <w:r>
        <w:t xml:space="preserve"> </w:t>
      </w:r>
      <w:r>
        <w:t xml:space="preserve">本阶段沿用已实现链条：Feedback → Conditional Capability Update</w:t>
      </w:r>
      <w:r>
        <w:t xml:space="preserve"> </w:t>
      </w:r>
      <m:oMath>
        <m:r>
          <m:t>q</m:t>
        </m:r>
        <m:r>
          <m:t>(</m:t>
        </m:r>
        <m:r>
          <m:t>m</m:t>
        </m:r>
        <m:r>
          <m:t>∣</m:t>
        </m:r>
        <m:r>
          <m:t>z</m:t>
        </m:r>
        <m:r>
          <m:t>,</m:t>
        </m:r>
        <m:r>
          <m:t>f</m:t>
        </m:r>
        <m:r>
          <m:t>)</m:t>
        </m:r>
      </m:oMath>
      <w:r>
        <w:t xml:space="preserve"> </w:t>
      </w:r>
      <w:r>
        <w:t xml:space="preserve">→ Affected Descendant Subgraph → Residual Budget Update → Local Pareto Re-optimization。调整限于失败节点及其受影响后继，已成功且独立的兄弟分支保留，并按剩余预算筛选候选。已有结果中，FLARE-DAG 的 Q=0.2045，与固定 LC 相同；由 MC 转向 LC 的静态策略选择差异，不应计为运行时重优化的额外质量收益。在当前冻结候选策略、模型池和部署反馈条件下，动态局部 Pareto 重优化未获得额外质量收益；该结果不等于算法在所有条件下无效。</w:t>
      </w:r>
    </w:p>
    <w:p>
      <w:pPr>
        <w:pStyle w:val="BodyText"/>
      </w:pPr>
      <w:r>
        <w:rPr>
          <w:b/>
        </w:rPr>
        <w:t xml:space="preserve">逐任务诊断与动态收益上界。</w:t>
      </w:r>
      <w:r>
        <w:t xml:space="preserve"> </w:t>
      </w:r>
      <w:r>
        <w:t xml:space="preserve">MC 与 LC 同时正确 15 个任务，MC 正确而 LC 错误 1 个，MC 错误而 LC 正确 3 个，同时错误 69 个。以 MC 为当前策略、LC 为已有切换候选时，可恢复互补性仅为 3/88=3.4%；三个可恢复任务全部未被部署反馈识别，即</w:t>
      </w:r>
      <w:r>
        <w:t xml:space="preserve"> </w:t>
      </w:r>
      <m:oMath>
        <m:r>
          <m:t>|</m:t>
        </m:r>
        <m:r>
          <m:t>R</m:t>
        </m:r>
        <m:r>
          <m:t>∩</m:t>
        </m:r>
        <m:r>
          <m:t>D</m:t>
        </m:r>
        <m:r>
          <m:t>|</m:t>
        </m:r>
        <m:r>
          <m:t>=</m:t>
        </m:r>
        <m:r>
          <m:t>0</m:t>
        </m:r>
      </m:oMath>
      <w:r>
        <w:t xml:space="preserve">。</w:t>
      </w:r>
    </w:p>
    <w:p>
      <w:pPr>
        <w:pStyle w:val="BodyText"/>
      </w:pPr>
      <w:r>
        <w:t xml:space="preserve">这里</w:t>
      </w:r>
      <w:r>
        <w:t xml:space="preserve"> </w:t>
      </w:r>
      <m:oMath>
        <m:r>
          <m:t>R</m:t>
        </m:r>
      </m:oMath>
      <w:r>
        <w:t xml:space="preserve"> </w:t>
      </w:r>
      <w:r>
        <w:t xml:space="preserve">表示当前策略失败、但另一个既有候选策略能够恢复的任务集合；</w:t>
      </w:r>
      <m:oMath>
        <m:r>
          <m:t>D</m:t>
        </m:r>
      </m:oMath>
      <w:r>
        <w:t xml:space="preserve"> </w:t>
      </w:r>
      <w:r>
        <w:t xml:space="preserve">表示部署可得反馈触发干预的任务集合。对于当前仅由部署反馈触发候选策略切换的机制，以任务成功率计的净质量增益满足</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该上界把可恢复且可触发的任务视为潜在正收益来源，不保证这些任务实际都能在预算内恢复，也不排除切换造成损害。当前冻结条件下，</w:t>
      </w:r>
      <m:oMath>
        <m:r>
          <m:t>|</m:t>
        </m:r>
        <m:r>
          <m:t>R</m:t>
        </m:r>
        <m:r>
          <m:t>∩</m:t>
        </m:r>
        <m:r>
          <m:t>D</m:t>
        </m:r>
        <m:r>
          <m:t>|</m:t>
        </m:r>
        <m:r>
          <m:t>/</m:t>
        </m:r>
        <m:r>
          <m:t>N</m:t>
        </m:r>
        <m:r>
          <m:t>=</m:t>
        </m:r>
        <m:r>
          <m:t>0</m:t>
        </m:r>
        <m:r>
          <m:t>/</m:t>
        </m:r>
        <m:r>
          <m:t>88</m:t>
        </m:r>
        <m:r>
          <m:t>=</m:t>
        </m:r>
        <m:r>
          <m:t>0</m:t>
        </m:r>
      </m:oMath>
      <w:r>
        <w:t xml:space="preserve">，即动态额外质量收益上界为 0 pp。该上界仅针对当前候选策略集合、模型池、部署反馈机制和 feedback-triggered switching mechanism，不泛化为所有动态多目标优化都无法提高质量。</w:t>
      </w:r>
    </w:p>
    <w:p>
      <w:pPr>
        <w:pStyle w:val="BodyText"/>
      </w:pPr>
      <w:r>
        <w:t xml:space="preserve">三个条件的当前状态为：Pareto Diversity 满足；Recoverable Complementarity 为 3/88=3.4%，很弱；Feedback Diagnosability 对可恢复机会的覆盖为 0/3。由此得到机制结论：</w:t>
      </w:r>
      <w:r>
        <w:rPr>
          <w:b/>
        </w:rPr>
        <w:t xml:space="preserve">Pareto Opportunity ≠ Dynamic Optimization Opportunity</w:t>
      </w:r>
      <w:r>
        <w:t xml:space="preserve">。</w:t>
      </w:r>
    </w:p>
    <w:p>
      <w:pPr>
        <w:pStyle w:val="Heading3"/>
      </w:pPr>
      <w:bookmarkStart w:id="50" w:name="跨域适用边界分析"/>
      <w:r>
        <w:t xml:space="preserve">4.5 跨域适用边界分析</w:t>
      </w:r>
      <w:bookmarkEnd w:id="50"/>
    </w:p>
    <w:p>
      <w:pPr>
        <w:pStyle w:val="FirstParagraph"/>
      </w:pPr>
      <w:r>
        <w:t xml:space="preserve">本节考察不同任务域与已有方法参照下的有效条件和局限，共同支撑 RQ2 与 RQ3，不另设研究问题。</w:t>
      </w:r>
    </w:p>
    <w:p>
      <w:pPr>
        <w:pStyle w:val="BodyText"/>
      </w:pPr>
      <w:r>
        <w:rPr>
          <w:b/>
        </w:rPr>
        <w:t xml:space="preserve">财务／数学／代码跨域结果。</w:t>
      </w:r>
    </w:p>
    <w:p>
      <w:pPr>
        <w:pStyle w:val="BodyText"/>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Oracle（六臂已执行单元内取最优）64%）。节点路由相对查询路由为 −37.0pp（McNemar p&lt;1e-10）。阶段诊断显示损失分两层：给定计划的求解节点正确率仅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0.0703，两种检验在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4-17。</w:t>
      </w:r>
    </w:p>
    <w:p>
      <w:pPr>
        <w:pStyle w:val="BodyText"/>
        <w:keepNext/>
        <w:spacing w:before="160"/>
      </w:pPr>
      <w:r>
        <w:t xml:space="preserve">表 4-17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p=0.0703</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BodyText"/>
      </w:pPr>
      <w:r>
        <w:rPr>
          <w:b/>
        </w:rPr>
        <w:t xml:space="preserve">外部方法比较。</w:t>
      </w:r>
    </w:p>
    <w:p>
      <w:pPr>
        <w:pStyle w:val="BodyText"/>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adapted baseline 查询级学习路由（900 题开发语料传播结果重算标签 + GTE 嵌入 + 逻辑回归）、FrugalGPT-style adapted baseline 成本感知级联（廉价模型先执行、部署可得置信检查失败才升级）、Self-Refine-style adapted baseline 答案级迭代精修（批判-修订；代码域反馈为单元测试失败报告）。协议先冻结后运行（641 次调用，one-shot），结果见表 4-18。</w:t>
      </w:r>
    </w:p>
    <w:p>
      <w:pPr>
        <w:pStyle w:val="BodyText"/>
        <w:keepNext/>
        <w:spacing w:before="160"/>
      </w:pPr>
      <w:r>
        <w:t xml:space="preserve">表 4-18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 adapted baseline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adapted baseline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 adapted baseline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次决策），预算违规按已记录结果单独说明。</w:t>
      </w:r>
    </w:p>
    <w:p>
      <w:pPr>
        <w:pStyle w:val="BodyText"/>
      </w:pPr>
      <w:r>
        <w:t xml:space="preserve">注：Finance 列 40.0% 是异构静态阶段分配 DAG-L/M，不是 Dynamic-Real——Dynamic-Real 从未在 TAT-QA-200 面板上运行。RouteLLM-style adapted baseline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4.2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上大量改坏正确答案（8.0%），与本节数学域校验节点破坏同属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51" w:name="损失归因消融"/>
      <w:r>
        <w:t xml:space="preserve">损失归因消融</w:t>
      </w:r>
      <w:bookmarkEnd w:id="51"/>
    </w:p>
    <w:p>
      <w:pPr>
        <w:pStyle w:val="FirstParagraph"/>
      </w:pPr>
      <w:r>
        <w:t xml:space="preserve">为定位 TAT-QA 上 21.0 个百分点分解损失的主要来源，在同一冻结面板上执行四版本消融：A（Mono-L）、B（当前 DAG-L/L）、C（DAG + 完整上下文透传）、D（DAG + gold facts）。版本 C 仅恢复 3.5 个百分点，说明接口信息丢失不是主要瓶颈。版本 D 比基线更差（27.0%），因为 gold facts 的 evidence 字段缺乏语义描述，证明 evidence 描述对推理的关键性。21.0 个百分点损失以分解诱导的推理退化为主（约 17.5 个百分点残余）。</w:t>
      </w:r>
    </w:p>
    <w:p>
      <w:pPr>
        <w:pStyle w:val="Heading4"/>
      </w:pPr>
      <w:bookmarkStart w:id="52" w:name="选择性分解"/>
      <w:r>
        <w:t xml:space="preserve">选择性分解</w:t>
      </w:r>
      <w:bookmarkEnd w:id="52"/>
    </w:p>
    <w:p>
      <w:pPr>
        <w:pStyle w:val="FirstParagraph"/>
      </w:pPr>
      <w:r>
        <w:t xml:space="preserve">在 12 个纯执行前特征上训练逻辑回归分解门控（5 折交叉拟合），选择性分解在总体 300 题上达到 42.0%，同时超过单体基线 Mono-L（38.7%，+3.3pp）和强制分解 DAG-L/M（31.7%，+10.3pp）。Help/Harm = 20/10，CI [−0.3, +7.0]pp，McNemar p = 0.198。两域均正向（TAT-QA +3.5pp、MultiHiertt +3.0pp）。</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方法</w:t>
            </w:r>
          </w:p>
        </w:tc>
        <w:tc>
          <w:tcPr>
            <w:tcW w:type="dxa" w:w="2835"/>
            <w:vAlign w:val="center"/>
            <w:shd w:fill="E8EDF2"/>
          </w:tcPr>
          <w:p>
            <w:pPr>
              <w:spacing w:after="60" w:before="60" w:line="240" w:lineRule="auto"/>
            </w:pPr>
            <w:r>
              <w:rPr>
                <w:rFonts w:eastAsia="Noto Sans CJK SC"/>
                <w:b/>
                <w:sz w:val="18"/>
              </w:rPr>
              <w:t>Q</w:t>
            </w:r>
          </w:p>
        </w:tc>
        <w:tc>
          <w:tcPr>
            <w:tcW w:type="dxa" w:w="4309"/>
            <w:vAlign w:val="center"/>
            <w:shd w:fill="E8EDF2"/>
          </w:tcPr>
          <w:p>
            <w:pPr>
              <w:spacing w:after="60" w:before="60" w:line="240" w:lineRule="auto"/>
            </w:pPr>
            <w:r>
              <w:rPr>
                <w:rFonts w:eastAsia="Noto Sans CJK SC"/>
                <w:b/>
                <w:sz w:val="18"/>
              </w:rPr>
              <w:t>Oracle Gap</w:t>
            </w:r>
          </w:p>
        </w:tc>
      </w:tr>
      <w:tr>
        <w:trPr>
          <w:cantSplit/>
        </w:trPr>
        <w:tc>
          <w:tcPr>
            <w:tcW w:type="dxa" w:w="2381"/>
            <w:vAlign w:val="center"/>
          </w:tcPr>
          <w:p>
            <w:pPr>
              <w:spacing w:after="60" w:before="60" w:line="240" w:lineRule="auto"/>
            </w:pPr>
            <w:r>
              <w:rPr>
                <w:rFonts w:eastAsia="Noto Sans CJK SC"/>
                <w:b w:val="0"/>
                <w:sz w:val="18"/>
              </w:rPr>
              <w:t>Random</w:t>
            </w:r>
          </w:p>
        </w:tc>
        <w:tc>
          <w:tcPr>
            <w:tcW w:type="dxa" w:w="2835"/>
            <w:vAlign w:val="center"/>
          </w:tcPr>
          <w:p>
            <w:pPr>
              <w:spacing w:after="60" w:before="60" w:line="240" w:lineRule="auto"/>
            </w:pPr>
            <w:r>
              <w:rPr>
                <w:rFonts w:eastAsia="Noto Sans CJK SC"/>
                <w:b w:val="0"/>
                <w:sz w:val="18"/>
              </w:rPr>
              <w:t>28.0%</w:t>
            </w:r>
          </w:p>
        </w:tc>
        <w:tc>
          <w:tcPr>
            <w:tcW w:type="dxa" w:w="4309"/>
            <w:vAlign w:val="center"/>
          </w:tcPr>
          <w:p>
            <w:pPr>
              <w:spacing w:after="60" w:before="60" w:line="240" w:lineRule="auto"/>
            </w:pPr>
            <w:r>
              <w:rPr>
                <w:rFonts w:eastAsia="Noto Sans CJK SC"/>
                <w:b w:val="0"/>
                <w:sz w:val="18"/>
              </w:rPr>
              <w:t>+20.0pp</w:t>
            </w:r>
          </w:p>
        </w:tc>
      </w:tr>
      <w:tr>
        <w:trPr>
          <w:cantSplit/>
        </w:trPr>
        <w:tc>
          <w:tcPr>
            <w:tcW w:type="dxa" w:w="2381"/>
            <w:vAlign w:val="center"/>
          </w:tcPr>
          <w:p>
            <w:pPr>
              <w:spacing w:after="60" w:before="60" w:line="240" w:lineRule="auto"/>
            </w:pPr>
            <w:r>
              <w:rPr>
                <w:rFonts w:eastAsia="Noto Sans CJK SC"/>
                <w:b w:val="0"/>
                <w:sz w:val="18"/>
              </w:rPr>
              <w:t>Single Best (Mono-L)</w:t>
            </w:r>
          </w:p>
        </w:tc>
        <w:tc>
          <w:tcPr>
            <w:tcW w:type="dxa" w:w="2835"/>
            <w:vAlign w:val="center"/>
          </w:tcPr>
          <w:p>
            <w:pPr>
              <w:spacing w:after="60" w:before="60" w:line="240" w:lineRule="auto"/>
            </w:pPr>
            <w:r>
              <w:rPr>
                <w:rFonts w:eastAsia="Noto Sans CJK SC"/>
                <w:b w:val="0"/>
                <w:sz w:val="18"/>
              </w:rPr>
              <w:t>38.7%</w:t>
            </w:r>
          </w:p>
        </w:tc>
        <w:tc>
          <w:tcPr>
            <w:tcW w:type="dxa" w:w="4309"/>
            <w:vAlign w:val="center"/>
          </w:tcPr>
          <w:p>
            <w:pPr>
              <w:spacing w:after="60" w:before="60" w:line="240" w:lineRule="auto"/>
            </w:pPr>
            <w:r>
              <w:rPr>
                <w:rFonts w:eastAsia="Noto Sans CJK SC"/>
                <w:b w:val="0"/>
                <w:sz w:val="18"/>
              </w:rPr>
              <w:t>+9.3pp</w:t>
            </w:r>
          </w:p>
        </w:tc>
      </w:tr>
      <w:tr>
        <w:trPr>
          <w:cantSplit/>
        </w:trPr>
        <w:tc>
          <w:tcPr>
            <w:tcW w:type="dxa" w:w="2381"/>
            <w:vAlign w:val="center"/>
          </w:tcPr>
          <w:p>
            <w:pPr>
              <w:spacing w:after="60" w:before="60" w:line="240" w:lineRule="auto"/>
            </w:pPr>
            <w:r>
              <w:rPr>
                <w:rFonts w:eastAsia="Noto Sans CJK SC"/>
                <w:b w:val="0"/>
                <w:sz w:val="18"/>
              </w:rPr>
              <w:t>Weighted Sum</w:t>
            </w:r>
          </w:p>
        </w:tc>
        <w:tc>
          <w:tcPr>
            <w:tcW w:type="dxa" w:w="2835"/>
            <w:vAlign w:val="center"/>
          </w:tcPr>
          <w:p>
            <w:pPr>
              <w:spacing w:after="60" w:before="60" w:line="240" w:lineRule="auto"/>
            </w:pPr>
            <w:r>
              <w:rPr>
                <w:rFonts w:eastAsia="Noto Sans CJK SC"/>
                <w:b w:val="0"/>
                <w:sz w:val="18"/>
              </w:rPr>
              <w:t>40.7%</w:t>
            </w:r>
          </w:p>
        </w:tc>
        <w:tc>
          <w:tcPr>
            <w:tcW w:type="dxa" w:w="4309"/>
            <w:vAlign w:val="center"/>
          </w:tcPr>
          <w:p>
            <w:pPr>
              <w:spacing w:after="60" w:before="60" w:line="240" w:lineRule="auto"/>
            </w:pPr>
            <w:r>
              <w:rPr>
                <w:rFonts w:eastAsia="Noto Sans CJK SC"/>
                <w:b w:val="0"/>
                <w:sz w:val="18"/>
              </w:rPr>
              <w:t>+7.3pp</w:t>
            </w:r>
          </w:p>
        </w:tc>
      </w:tr>
      <w:tr>
        <w:trPr>
          <w:cantSplit/>
        </w:trPr>
        <w:tc>
          <w:tcPr>
            <w:tcW w:type="dxa" w:w="2381"/>
            <w:vAlign w:val="center"/>
          </w:tcPr>
          <w:p>
            <w:pPr>
              <w:spacing w:after="60" w:before="60" w:line="240" w:lineRule="auto"/>
            </w:pPr>
            <w:r>
              <w:rPr>
                <w:rFonts w:eastAsia="Noto Sans CJK SC"/>
                <w:b w:val="0"/>
                <w:sz w:val="18"/>
              </w:rPr>
              <w:t>选择性分解（本文）</w:t>
            </w:r>
          </w:p>
        </w:tc>
        <w:tc>
          <w:tcPr>
            <w:tcW w:type="dxa" w:w="2835"/>
            <w:vAlign w:val="center"/>
          </w:tcPr>
          <w:p>
            <w:pPr>
              <w:spacing w:after="60" w:before="60" w:line="240" w:lineRule="auto"/>
            </w:pPr>
            <w:r>
              <w:rPr>
                <w:rFonts w:eastAsia="Noto Sans CJK SC"/>
                <w:b w:val="0"/>
                <w:sz w:val="18"/>
              </w:rPr>
              <w:t>42.0%</w:t>
            </w:r>
          </w:p>
        </w:tc>
        <w:tc>
          <w:tcPr>
            <w:tcW w:type="dxa" w:w="4309"/>
            <w:vAlign w:val="center"/>
          </w:tcPr>
          <w:p>
            <w:pPr>
              <w:spacing w:after="60" w:before="60" w:line="240" w:lineRule="auto"/>
            </w:pPr>
            <w:r>
              <w:rPr>
                <w:rFonts w:eastAsia="Noto Sans CJK SC"/>
                <w:b w:val="0"/>
                <w:sz w:val="18"/>
              </w:rPr>
              <w:t>+6.0pp</w:t>
            </w:r>
          </w:p>
        </w:tc>
      </w:tr>
      <w:tr>
        <w:trPr>
          <w:cantSplit/>
        </w:trPr>
        <w:tc>
          <w:tcPr>
            <w:tcW w:type="dxa" w:w="2381"/>
            <w:vAlign w:val="center"/>
          </w:tcPr>
          <w:p>
            <w:pPr>
              <w:spacing w:after="60" w:before="60" w:line="240" w:lineRule="auto"/>
            </w:pPr>
            <w:r>
              <w:rPr>
                <w:rFonts w:eastAsia="Noto Sans CJK SC"/>
                <w:b w:val="0"/>
                <w:sz w:val="18"/>
              </w:rPr>
              <w:t>Oracle</w:t>
            </w:r>
          </w:p>
        </w:tc>
        <w:tc>
          <w:tcPr>
            <w:tcW w:type="dxa" w:w="2835"/>
            <w:vAlign w:val="center"/>
          </w:tcPr>
          <w:p>
            <w:pPr>
              <w:spacing w:after="60" w:before="60" w:line="240" w:lineRule="auto"/>
            </w:pPr>
            <w:r>
              <w:rPr>
                <w:rFonts w:eastAsia="Noto Sans CJK SC"/>
                <w:b w:val="0"/>
                <w:sz w:val="18"/>
              </w:rPr>
              <w:t>48.0%</w:t>
            </w:r>
          </w:p>
        </w:tc>
        <w:tc>
          <w:tcPr>
            <w:tcW w:type="dxa" w:w="4309"/>
            <w:vAlign w:val="center"/>
          </w:tcPr>
          <w:p>
            <w:pPr>
              <w:spacing w:after="60" w:before="60" w:line="240" w:lineRule="auto"/>
            </w:pPr>
            <w:r>
              <w:rPr>
                <w:rFonts w:eastAsia="Noto Sans CJK SC"/>
                <w:b w:val="0"/>
                <w:sz w:val="18"/>
              </w:rPr>
              <w:t>—</w:t>
            </w:r>
          </w:p>
        </w:tc>
      </w:tr>
    </w:tbl>
    <w:p>
      <w:pPr>
        <w:pStyle w:val="BodyText"/>
      </w:pPr>
      <w:r>
        <w:t xml:space="preserve">不同决策粒度下，查询级路由 38.5%、节点级路由 40.0%、工作流级调度 56.0%（TAT-QA 200），决策粒度升级后质量持续提升。查询级路由反而低于单体 L（52.5%），与</w:t>
      </w:r>
      <w:r>
        <w:t xml:space="preserve">“</w:t>
      </w:r>
      <w:r>
        <w:t xml:space="preserve">路由机会不等价于可学习的路由信号</w:t>
      </w:r>
      <w:r>
        <w:t xml:space="preserve">”</w:t>
      </w:r>
      <w:r>
        <w:t xml:space="preserve">一致。</w:t>
      </w:r>
    </w:p>
    <w:p>
      <w:pPr>
        <w:pStyle w:val="BodyText"/>
      </w:pPr>
      <w:r>
        <w:rPr>
          <w:b/>
        </w:rPr>
        <w:t xml:space="preserve">三条件机制分析。</w:t>
      </w:r>
    </w:p>
    <w:p>
      <w:pPr>
        <w:pStyle w:val="BodyText"/>
      </w:pPr>
      <w:r>
        <w:t xml:space="preserve">本节把跨域观察收敛为三个条件的直接机制证据（全部为零调用重放，冻结日志 + 本地沙箱/评分器复算）。</w:t>
      </w:r>
    </w:p>
    <w:p>
      <w:pPr>
        <w:pStyle w:val="BodyText"/>
      </w:pPr>
      <w:r>
        <w:t xml:space="preserve">能力匹配与接口表达的证据分别见 4.2、4.3 及本节跨域比较；以下保留对反馈信息量的独立诊断。</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上述跨域与外部方法结果共同支撑 RQ2 与 RQ3 的适用边界；更完整的机制解释见第 5 章。它们不构成对跨域 Pareto 重优化的直接验证。</w:t>
      </w:r>
    </w:p>
    <w:p>
      <w:pPr>
        <w:pStyle w:val="Heading2"/>
      </w:pPr>
      <w:bookmarkStart w:id="53" w:name="讨论"/>
      <w:r>
        <w:t xml:space="preserve">5 讨论</w:t>
      </w:r>
      <w:bookmarkEnd w:id="53"/>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54" w:name="为什么分解不是免费的"/>
      <w:r>
        <w:t xml:space="preserve">5.1 为什么分解不是免费的</w:t>
      </w:r>
      <w:bookmarkEnd w:id="54"/>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55" w:name="为什么条件能力不能直接代表传播能力"/>
      <w:r>
        <w:t xml:space="preserve">5.2 为什么条件能力不能直接代表传播能力</w:t>
      </w:r>
      <w:bookmarkEnd w:id="55"/>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56" w:name="为什么动态适应不能创造能力"/>
      <w:r>
        <w:t xml:space="preserve">5.3 为什么动态适应不能创造能力</w:t>
      </w:r>
      <w:bookmarkEnd w:id="56"/>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57" w:name="多模型有向无环图协同何时有效"/>
      <w:r>
        <w:t xml:space="preserve">5.4 多模型有向无环图协同何时有效</w:t>
      </w:r>
      <w:bookmarkEnd w:id="57"/>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Heading3"/>
      </w:pPr>
      <w:bookmarkStart w:id="58" w:name="非支配机会为何不等于动态优化机会"/>
      <w:r>
        <w:t xml:space="preserve">5.5 非支配机会为何不等于动态优化机会</w:t>
      </w:r>
      <w:bookmarkEnd w:id="58"/>
    </w:p>
    <w:p>
      <w:pPr>
        <w:pStyle w:val="FirstParagraph"/>
      </w:pPr>
      <w:r>
        <w:t xml:space="preserve">多目标调度首先要求候选执行策略之间存在质量、成本与时延上的非支配差异，但 Pareto 前沿的存在并不意味着动态调度一定能够获得额外收益。在统一的 88 个任务支持集上，MC（medium 推理 + coder 验证）与 LC（large 推理 + coder 验证）构成非支配关系：前者具有更低的执行成本和观测服务时延，而后者具有更高的平均任务质量，说明当前模型池确实存在静态多目标权衡空间。然而，逐任务分析进一步表明，88 个任务中仅有 3 个任务能够通过从 MC 切换至 LC 得到恢复，对应的可恢复质量增益上界仅为 3.4 个百分点；其余大部分失败（78%）在当前候选策略下均无法通过调度切换解决。</w:t>
      </w:r>
    </w:p>
    <w:p>
      <w:pPr>
        <w:pStyle w:val="BodyText"/>
      </w:pPr>
      <w:r>
        <w:t xml:space="preserve">更重要的是，这 3 个可恢复任务均未被当前部署反馈识别。其推理节点均能够正常解析，验证节点也能够返回格式合法的数值结果，但最终数值仍然错误。这表明当前运行信号主要能够检测格式或执行层异常，而难以识别形式合法但语义错误的输出。在当前候选集合和反馈机制下，</w:t>
      </w:r>
      <m:oMath>
        <m:r>
          <m:t>|</m:t>
        </m:r>
        <m:r>
          <m:t>R</m:t>
        </m:r>
        <m:r>
          <m:t>∩</m:t>
        </m:r>
        <m:r>
          <m:t>D</m:t>
        </m:r>
        <m:r>
          <m:t>|</m:t>
        </m:r>
        <m:r>
          <m:t>=</m:t>
        </m:r>
        <m:r>
          <m:t>0</m:t>
        </m:r>
      </m:oMath>
      <w:r>
        <w:t xml:space="preserve">，因此依赖该反馈触发策略切换的动态调度器不存在可利用的质量恢复机会。</w:t>
      </w:r>
    </w:p>
    <w:p>
      <w:pPr>
        <w:pStyle w:val="BodyText"/>
      </w:pPr>
      <w:r>
        <w:t xml:space="preserve">上述结果表明，Pareto Opportunity 并不等价于 Dynamic Optimization Opportunity。动态多目标协同至少受到三个结构条件制约：候选策略之间需要形成足够的 Pareto 差异，需要存在可通过策略切换恢复的能力互补，同时运行反馈还必须能够识别这些真正需要切换的实例。仅满足静态非支配性并不不足以保证反馈驱动重优化产生实际收益。</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59"/>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0" w:name="结论"/>
      <w:r>
        <w:t xml:space="preserve">6 结论</w:t>
      </w:r>
      <w:bookmarkEnd w:id="60"/>
    </w:p>
    <w:p>
      <w:pPr>
        <w:pStyle w:val="FirstParagraph"/>
      </w:pPr>
      <w:r>
        <w:t xml:space="preserve">本文将异构大型语言模型视为智能体执行单元，提出面向复杂任务的多智能体 DAG 协同调度框架，以能力画像支持节点级智能体分配，以反馈条件化的后继适应连接静态与动态执行，以质量—成本—时延多目标形式化刻画执行策略选择，并通过剩余预算控制和选择性分解门控约束额外开销。</w:t>
      </w:r>
    </w:p>
    <w:p>
      <w:pPr>
        <w:pStyle w:val="BodyText"/>
      </w:pPr>
      <w:r>
        <w:t xml:space="preserve">全文围绕一个中心命题组织：</w:t>
      </w:r>
      <w:r>
        <w:rPr>
          <w:b/>
        </w:rPr>
        <w:t xml:space="preserve">多智能体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其一，严格配对分解基准显示同模型拆分在 TAT-QA 上显著有害（−21.0 个百分点），异构分工追回 +5.0 个百分点但未完全抵消——DAG 的核心作用是解除阶段能力绑定而非提高推理精度。损失归因消融进一步表明，21.0 个百分点分解损失以推理退化为主（约 17.5 个百分点残余），接口信息丢失次之。选择性分解门控在 5 折交叉拟合中超过单体 +3.3 个百分点、超过强制分解 +10.3 个百分点，并在多目标策略选择比较中实现最小 Oracle Gap（6.0 个百分点），证实分解价值在于对哪些任务拆分而非是否拆分。</w:t>
      </w:r>
    </w:p>
    <w:p>
      <w:pPr>
        <w:pStyle w:val="BodyText"/>
      </w:pPr>
      <w:r>
        <w:t xml:space="preserve">其二，反馈驱动的动态执行在四节点 DAG 面板上显著优于静态执行（+20.0 个百分点），归因消融显示主要增益来自恢复动作本身（+18.3 个百分点），动态框架的可确证价值在于以选择性更新与预算约束安全地承载该动作。部署可得信号可保留 91.7% 的增益。</w:t>
      </w:r>
    </w:p>
    <w:p>
      <w:pPr>
        <w:pStyle w:val="BodyText"/>
      </w:pPr>
      <w:r>
        <w:t xml:space="preserve">其三，跨域验证与外部方法比较划定适用边界：工作流级调度在 TAT-QA 上达到 56.0%（高于单体 52.5%、查询级路由 38.5%、节点级路由 40.0%），但多智能体协同在数学域因先验与接口双重失配而全面劣于单体。答案级迭代精修在代码域点估计更高但配对差异未达显著。这些结果共同表明：本文方法不是普适最优解，其辨识度在于多智能体协同调度的机制刻画与优化边界分析。</w:t>
      </w:r>
    </w:p>
    <w:p>
      <w:pPr>
        <w:pStyle w:val="BodyText"/>
      </w:pPr>
      <w:r>
        <w:t xml:space="preserve">多智能体协同的关键是识别不同执行阶段的能力互补，在可靠证据和资源约束下进行选择性的策略调度，并理解调度的收益上界受到能力互补性与反馈可诊断性的共同制约。动态调度不能创造候选集合中不存在的正确答案，分解也不是免费的，静态非支配权衡的存在也不保证动态优化收益——三者共同定义了多智能体协同调度的有效边界。</w:t>
      </w:r>
    </w:p>
    <w:p>
      <w:pPr>
        <w:pStyle w:val="BodyText"/>
      </w:pPr>
      <w:r>
        <w:t xml:space="preserve">这些结论受限于当前模型池的能力跨度、候选策略集合规模与部署反馈机制的召回范围。未来方向包括：更大规模和更多样化的候选策略空间、更强的能力互补模型池、改进的接口表示、更可靠的选择性覆盖信号，以及将选择性分解与动态调度统一在更一般的多目标优化框架中。</w:t>
      </w:r>
    </w:p>
    <w:p>
      <w:pPr>
        <w:pStyle w:val="Heading2"/>
      </w:pPr>
      <w:bookmarkStart w:id="61" w:name="参考文献"/>
      <w:r>
        <w:t xml:space="preserve">参考文献</w:t>
      </w:r>
      <w:bookmarkEnd w:id="61"/>
    </w:p>
    <w:p>
      <w:pPr>
        <w:pStyle w:val="FirstParagraph"/>
      </w:pPr>
      <w:r>
        <w:t xml:space="preserve">[1] Ong, I., et al. RouteLLM: Learning to Route LLMs with Preference Data. 2024. arXiv:2406.18665.</w:t>
      </w:r>
      <w:r>
        <w:t xml:space="preserve"> </w:t>
      </w:r>
      <w:hyperlink r:id="rId62">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63">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64">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65">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66">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67">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68">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69">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0">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71">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2">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9" Type="http://schemas.openxmlformats.org/officeDocument/2006/relationships/image" Target="media/rId59.png"/><Relationship Id="rId68" Type="http://schemas.openxmlformats.org/officeDocument/2006/relationships/hyperlink" Target="https://aclanthology.org/2021.acl-long.254/" TargetMode="External"/><Relationship Id="rId67" Type="http://schemas.openxmlformats.org/officeDocument/2006/relationships/hyperlink" Target="https://aclanthology.org/2022.acl-long.454/" TargetMode="External"/><Relationship Id="rId69" Type="http://schemas.openxmlformats.org/officeDocument/2006/relationships/hyperlink" Target="https://arxiv.org/abs/2103.03874" TargetMode="External"/><Relationship Id="rId71" Type="http://schemas.openxmlformats.org/officeDocument/2006/relationships/hyperlink" Target="https://arxiv.org/abs/2108.07732" TargetMode="External"/><Relationship Id="rId65" Type="http://schemas.openxmlformats.org/officeDocument/2006/relationships/hyperlink" Target="https://arxiv.org/abs/2303.17651" TargetMode="External"/><Relationship Id="rId63" Type="http://schemas.openxmlformats.org/officeDocument/2006/relationships/hyperlink" Target="https://arxiv.org/abs/2305.05176" TargetMode="External"/><Relationship Id="rId70" Type="http://schemas.openxmlformats.org/officeDocument/2006/relationships/hyperlink" Target="https://arxiv.org/abs/2305.20050" TargetMode="External"/><Relationship Id="rId72" Type="http://schemas.openxmlformats.org/officeDocument/2006/relationships/hyperlink" Target="https://arxiv.org/abs/2309.06180" TargetMode="External"/><Relationship Id="rId62" Type="http://schemas.openxmlformats.org/officeDocument/2006/relationships/hyperlink" Target="https://arxiv.org/abs/2406.18665" TargetMode="External"/><Relationship Id="rId66" Type="http://schemas.openxmlformats.org/officeDocument/2006/relationships/hyperlink" Target="https://arxiv.org/abs/2409.07429" TargetMode="External"/><Relationship Id="rId64"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aclanthology.org/2021.acl-long.254/" TargetMode="External"/><Relationship Id="rId67" Type="http://schemas.openxmlformats.org/officeDocument/2006/relationships/hyperlink" Target="https://aclanthology.org/2022.acl-long.454/" TargetMode="External"/><Relationship Id="rId69" Type="http://schemas.openxmlformats.org/officeDocument/2006/relationships/hyperlink" Target="https://arxiv.org/abs/2103.03874" TargetMode="External"/><Relationship Id="rId71" Type="http://schemas.openxmlformats.org/officeDocument/2006/relationships/hyperlink" Target="https://arxiv.org/abs/2108.07732" TargetMode="External"/><Relationship Id="rId65" Type="http://schemas.openxmlformats.org/officeDocument/2006/relationships/hyperlink" Target="https://arxiv.org/abs/2303.17651" TargetMode="External"/><Relationship Id="rId63" Type="http://schemas.openxmlformats.org/officeDocument/2006/relationships/hyperlink" Target="https://arxiv.org/abs/2305.05176" TargetMode="External"/><Relationship Id="rId70" Type="http://schemas.openxmlformats.org/officeDocument/2006/relationships/hyperlink" Target="https://arxiv.org/abs/2305.20050" TargetMode="External"/><Relationship Id="rId72" Type="http://schemas.openxmlformats.org/officeDocument/2006/relationships/hyperlink" Target="https://arxiv.org/abs/2309.06180" TargetMode="External"/><Relationship Id="rId62" Type="http://schemas.openxmlformats.org/officeDocument/2006/relationships/hyperlink" Target="https://arxiv.org/abs/2406.18665" TargetMode="External"/><Relationship Id="rId66" Type="http://schemas.openxmlformats.org/officeDocument/2006/relationships/hyperlink" Target="https://arxiv.org/abs/2409.07429" TargetMode="External"/><Relationship Id="rId64"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2026-09-24T09:26:18Z</dcterms:created>
  <dcterms:modified xsi:type="dcterms:W3CDTF">2026-09-24T09:26:18Z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