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次适配调用全部限于受影响后代闭包、分支隔离检查零违例、预算违规为零——动态 DAG 的价值在多节点结构下首次得到显著验证。对照消融显示增益主要来自失败节点升级至最强未试模型的动作（同目标静态对照 35.0%），而将失败检测全部换成部署可得信号（解析/执行与输出一致性检查，无 gold 参考）仍保留 91.7% 的增益（35.0%）——动态收益不依赖理想失败检测。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5-5 只改变</w:t>
      </w:r>
      <w:r>
        <w:t xml:space="preserve">“</w:t>
      </w:r>
      <w:r>
        <w:t xml:space="preserve">是否拆分</w:t>
      </w:r>
      <w:r>
        <w:t xml:space="preserve">”</w:t>
      </w:r>
      <w:r>
        <w:t xml:space="preserve">，表 5-6 只改变</w:t>
      </w:r>
      <w:r>
        <w:t xml:space="preserve">“</w:t>
      </w:r>
      <w:r>
        <w:t xml:space="preserve">推理模型</w:t>
      </w:r>
      <w:r>
        <w:t xml:space="preserve">”</w:t>
      </w:r>
      <w:r>
        <w:t xml:space="preserve">。</w:t>
      </w:r>
    </w:p>
    <w:p>
      <w:pPr>
        <w:pStyle w:val="BodyText"/>
        <w:keepNext/>
        <w:spacing w:before="160"/>
      </w:pPr>
      <w:r>
        <w:t xml:space="preserve">表 5-5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个百分点且区间不含零。分解不自动带来收益：它引入真实的接口损耗，损耗集中于简单任务（见下表）。</w:t>
      </w:r>
    </w:p>
    <w:p>
      <w:pPr>
        <w:pStyle w:val="BodyText"/>
        <w:keepNext/>
        <w:spacing w:before="160"/>
      </w:pPr>
      <w:r>
        <w:t xml:space="preserve">表 5-6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5-7 复杂度分层下的分解效应（表 5-5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5-8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5-9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5-10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5-11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。这是本文第一次在含分支与汇合的多节点真实传播下得到 Dynamic 显著优于 Static 的证据。同时如实说明边界：区域受限抽取（仅表格或仅文本）的失败率（158/480 节点槽位）远高于全上下文抽取；校验尾节点几乎在所有任务上都触发适配，动态收益相当部分来自 r/v 升级 large；结论限于该任务结构、单域与理想失败检测条件。</w:t>
      </w:r>
    </w:p>
    <w:p>
      <w:pPr>
        <w:pStyle w:val="BodyText"/>
      </w:pPr>
      <w:r>
        <w:t xml:space="preserve">公平性与真实反馈消融（</w:t>
      </w:r>
      <w:r>
        <w:rPr>
          <w:rStyle w:val="VerbatimChar"/>
        </w:rPr>
        <w:t xml:space="preserve">multidag_ablation_120</w:t>
      </w:r>
      <w:r>
        <w:t xml:space="preserve">，两个预注册对照臂，同一冻结面板，830 次新调用）。</w:t>
      </w:r>
      <w:r>
        <w:rPr>
          <w:b/>
        </w:rPr>
        <w:t xml:space="preserve">Static-Matched 臂</w:t>
      </w:r>
      <w:r>
        <w:t xml:space="preserve">保持静态语义但将恢复目标换成动态的升级目标（r 失败→large、v 失败→large）：Q = 35.0%（+18.3pp，CI [10.0, 26.7]），完整动态策略 36.7%——策略超出目标选择的额外贡献仅 +1.7pp（CI [−4.2, +7.5]，McNemar p=0.77）。</w:t>
      </w:r>
      <w:r>
        <w:rPr>
          <w:b/>
        </w:rPr>
        <w:t xml:space="preserve">归因如实报告：主要质量增益来自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w:t>
      </w:r>
      <w:r>
        <w:rPr>
          <w:b/>
        </w:rPr>
        <w:t xml:space="preserve">Dynamic-RealDetector 臂</w:t>
      </w:r>
      <w:r>
        <w:t xml:space="preserve">将失败检测全部替换为部署可得信号（解析/执行检查加 v 与 r 的输出一致性，无 gold）：Q = 35.0%，</w:t>
      </w:r>
      <w:r>
        <w:rPr>
          <w:b/>
        </w:rPr>
        <w:t xml:space="preserve">增益保留率 91.7%</w:t>
      </w:r>
      <w:r>
        <w:t xml:space="preserve">（CI [77.8%, 100%]），与理想检测无显著差异（p=0.5），成本更低（2,459.5 tokens）。机制边界如实说明：尾节点一致性检查在本面板近乎全触发（离线审计已表明其退化为常发），等价于</w:t>
      </w:r>
      <w:r>
        <w:t xml:space="preserve">“</w:t>
      </w:r>
      <w:r>
        <w:t xml:space="preserve">尾节点总是请求更强模型复核</w:t>
      </w:r>
      <w:r>
        <w:t xml:space="preserve">”</w:t>
      </w:r>
      <w:r>
        <w:t xml:space="preserve">；r 节点的值错误检测不到，但该缺口在本面板代价很小。结论：</w:t>
      </w:r>
      <w:r>
        <w:rPr>
          <w:b/>
        </w:rPr>
        <w:t xml:space="preserve">动态 DAG 的收益不依赖 gold 失败信号</w:t>
      </w:r>
      <w:r>
        <w:t xml:space="preserve">。</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5-12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5-13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2"/>
      </w:pPr>
      <w:bookmarkStart w:id="61" w:name="讨论"/>
      <w:r>
        <w:t xml:space="preserve">6 讨论</w:t>
      </w:r>
      <w:bookmarkEnd w:id="61"/>
    </w:p>
    <w:p>
      <w:pPr>
        <w:pStyle w:val="Heading3"/>
      </w:pPr>
      <w:bookmarkStart w:id="62" w:name="条件能力与传播能力的区别"/>
      <w:r>
        <w:t xml:space="preserve">6.1 条件能力与传播能力的区别</w:t>
      </w:r>
      <w:bookmarkEnd w:id="62"/>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3" w:name="单模型可预测性不等于最优模型可路由性"/>
      <w:r>
        <w:t xml:space="preserve">6.2 单模型可预测性不等于最优模型可路由性</w:t>
      </w:r>
      <w:bookmarkEnd w:id="63"/>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4" w:name="选择性干预的作用与边界"/>
      <w:r>
        <w:t xml:space="preserve">6.3 选择性干预的作用与边界</w:t>
      </w:r>
      <w:bookmarkEnd w:id="64"/>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实验链现在可以把</w:t>
      </w:r>
      <w:r>
        <w:t xml:space="preserve">“</w:t>
      </w:r>
      <w:r>
        <w:t xml:space="preserve">分解—分工—适应</w:t>
      </w:r>
      <w:r>
        <w:t xml:space="preserve">”</w:t>
      </w:r>
      <w:r>
        <w:t xml:space="preserve">三层的价值分开计量：严格配对基准显示同模型拆分本身在 TAT-QA 上显著有害（−21.0pp）、MultiHiertt 上不显著（+6.0pp），而异构阶段分工在两域总体 +5.0pp 显著；多节点 DAG 上反馈条件化的动态控制在理想与真实检测下均显著超越静态。三层合读即是本文主线：</w:t>
      </w:r>
      <w:r>
        <w:rPr>
          <w:b/>
        </w:rPr>
        <w:t xml:space="preserve">分解打开阶段解耦接口，异构分工兑现能力互补，动态控制安全且有预算地调用强恢复动作</w:t>
      </w:r>
      <w:r>
        <w:t xml:space="preserve">。动态适应的价值随 DAG 结构深度显现。两节点链面板（48 与 250 任务）上动态第二版只给出方向一致但不显著的小幅正信号；而在含分支与汇合的四节点真实 DAG 上，同一族冻结适应规则带来 +20.0pp 的显著提升（CI 不含零，McNemar p≈1.9×10⁻⁵），且 933 次适配调用全部限于失败节点及其后代闭包、分支隔离零违例、预算违规为零。两个信息合起来读：</w:t>
      </w:r>
      <w:r>
        <w:rPr>
          <w:b/>
        </w:rPr>
        <w:t xml:space="preserve">选择性与预算约束下的动态适应，其收益与</w:t>
      </w:r>
      <w:r>
        <w:rPr>
          <w:b/>
        </w:rPr>
        <w:t xml:space="preserve">“</w:t>
      </w:r>
      <w:r>
        <w:rPr>
          <w:b/>
        </w:rPr>
        <w:t xml:space="preserve">失败能够局部化、受影响后代确实存在可利用替代</w:t>
      </w:r>
      <w:r>
        <w:rPr>
          <w:b/>
        </w:rPr>
        <w:t xml:space="preserve">”</w:t>
      </w:r>
      <w:r>
        <w:rPr>
          <w:b/>
        </w:rPr>
        <w:t xml:space="preserve">的结构条件成正比</w:t>
      </w:r>
      <w:r>
        <w:t xml:space="preserve">——两节点链上可局部化的失败太少，四节点 DAG 上失败可以在分支、汇合与尾节点三个层面被选择性吸收。两臂对照消融进一步把归因说清：把静态对照的恢复目标同样换成升级 large，即可获得 +18.3pp（35.0%），策略逻辑超出目标选择的贡献仅 +1.7pp（不显著）——该面板的主要质量增益来自</w:t>
      </w:r>
      <w:r>
        <w:t xml:space="preserve">“</w:t>
      </w:r>
      <w:r>
        <w:t xml:space="preserve">失败节点升级至最强未试模型</w:t>
      </w:r>
      <w:r>
        <w:t xml:space="preserve">”</w:t>
      </w:r>
      <w:r>
        <w:t xml:space="preserve">这一动作；动态框架的可确证价值在于以选择性更新、预算约束与审计纪律安全地承载它。同时，把失败检测全部替换为部署可得信号后增益保留 91.7%，说明该收益不依赖 gold 失败信号，但部分依赖尾节点一致性检查在本面板近乎全触发的退化特性。因此动态适应的价值仍应表述为对后继决策范围的控制证据与 harm 控制，而非普适的质量保证：结论限于单一任务域。</w:t>
      </w:r>
    </w:p>
    <w:p>
      <w:pPr>
        <w:pStyle w:val="Heading3"/>
      </w:pPr>
      <w:bookmarkStart w:id="65" w:name="能力覆盖与动作选择的不同上限"/>
      <w:r>
        <w:t xml:space="preserve">6.4 能力覆盖与动作选择的不同上限</w:t>
      </w:r>
      <w:bookmarkEnd w:id="65"/>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6" w:name="资源约束与历史复用的作用层次"/>
      <w:r>
        <w:t xml:space="preserve">6.5 资源约束与历史复用的作用层次</w:t>
      </w:r>
      <w:bookmarkEnd w:id="66"/>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7" w:name="有效性限制"/>
      <w:r>
        <w:t xml:space="preserve">6.6 有效性限制</w:t>
      </w:r>
      <w:bookmarkEnd w:id="67"/>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2"/>
      </w:pPr>
      <w:bookmarkStart w:id="68" w:name="结论"/>
      <w:r>
        <w:t xml:space="preserve">7 结论</w:t>
      </w:r>
      <w:bookmarkEnd w:id="68"/>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适应的价值在两节点链与多节点 DAG 上呈现梯度：两节点链上为方向一致但未确证的小幅正信号（48 任务 +2.1pp、250 任务冻结确认 +2.8pp，CI 均覆盖零）；在含分支与汇合的四节点真实 DAG 上，选择性动态适应显著优于静态执行（+20.0pp，CI 不含零，Help/Harm 28/4），933 次适配调用全部限于受影响后代、分支隔离零违例、预算违规为零。消融归因表明主要增益来自失败节点升级至最强未试模型的动作（同目标静态对照已达 35.0%），部署可得的解析/执行与一致性检测可保留其中 91.7%——动态收益不依赖理想失败检测，其框架价值在于安全、选择性且可审计地承载该动作；结论仍限于单域面板。</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69" w:name="参考文献"/>
      <w:r>
        <w:t xml:space="preserve">参考文献</w:t>
      </w:r>
      <w:bookmarkEnd w:id="69"/>
    </w:p>
    <w:p>
      <w:pPr>
        <w:pStyle w:val="FirstParagraph"/>
      </w:pPr>
      <w:r>
        <w:t xml:space="preserve">[1] Ong, I., et al. RouteLLM: Learning to Route LLMs with Preference Data. 2024. arXiv:2406.18665.</w:t>
      </w:r>
      <w:r>
        <w:t xml:space="preserve"> </w:t>
      </w:r>
      <w:hyperlink r:id="rId70">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1">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2">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3">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4">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5">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6">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2026-09-21T08:39:58Z</dcterms:created>
  <dcterms:modified xsi:type="dcterms:W3CDTF">2026-09-21T08:39:58Z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