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第4章 实验结果与分析</w:t>
      </w:r>
    </w:p>
    <w:p>
      <w:r>
        <w:t>编辑状态：审计约束下的中文正文工作稿，非投稿定稿。 本稿依据2026年9月27日实验总账，仅将VALIDATED或CORRECTED证据写为结果。标为“待补证据”的段落属于编辑标记，不是论文结论。原始实验文件与历史稿件保持不变。</w:t>
      </w:r>
    </w:p>
    <w:p>
      <w:r>
        <w:t>本章围绕异构大语言模型工作流的执行策略选择展开。首先通过单模型与静态DAG的配对比较，考察执行结构和节点模型配置如何共同影响任务质量；随后分析反馈感知动态执行及局部恢复；最后在有限候选集合上考察Pareto感知的多目标协同调度，并通过不同任务接口讨论适用条件。实验区分候选策略的执行效果与策略选择器的决策效果，避免将更复杂的执行方式直接等同于更优的调度方案。</w:t>
      </w:r>
    </w:p>
    <w:p>
      <w:pPr>
        <w:pStyle w:val="Heading2"/>
      </w:pPr>
      <w:r>
        <w:t>4.1 实验设置</w:t>
      </w:r>
    </w:p>
    <w:p>
      <w:r>
        <w:t>本章使用四类实验面板。执行结构面板由MultiHiertt的100道任务和TAT-QA的200道任务组成，在相同任务上比较单模型执行与不同模型分配的静态DAG。核心故障恢复面板包含120道TAT-QA任务，用于考察故障响应和恢复范围。多目标分析基于相应执行记录比较候选策略的质量、成本和时延，并设置独立的Frozen 200任务面板检验冻结策略。适用性面板包括Math500抽取的100道任务和MBPP的100道任务，用于分析不同输出接口和反馈形式下的执行表现。各面板分别统计，不将任务数或故障种子数合并为独立样本量。</w:t>
      </w:r>
    </w:p>
    <w:p>
      <w:r>
        <w:t>模型池包括Qwen2.5-7B-Instruct、Qwen2.5-14B-Instruct-GPTQ-Int8和Qwen2.5-Coder-7B-Instruct，分别记为medium、large和coder。核心四节点工作流包含表格证据抽取、文本证据抽取、推理和验证节点，分别记为e1、e2、r和v。单模型执行（Single LLM）直接完成端到端任务；静态DAG执行（Static DAG）按照预设依赖和模型分配运行；动态DAG执行（Dynamic DAG）进一步依据运行反馈触发模型切换和受影响子图重执行。整图重放（Full Replay）作为恢复范围对照，重新执行完整工作流。理想检测对照与使用实际反馈的策略分开报告。</w:t>
      </w:r>
    </w:p>
    <w:p>
      <w:r>
        <w:t>核心故障协议采用持续性能力故障：故障与任务、节点及原定执行模型绑定，同模型重试不会自动消除故障，切换模型可能获得替代执行路径。开发面板设置10%、20%和30%的故障水平，使用20260923、20260924和20260925三个故障种子。Frozen 200设置无故障参考和30%故障条件。模型池、提示、阈值、故障定义与预算规则在修复实现时保持冻结。</w:t>
      </w:r>
    </w:p>
    <w:p>
      <w:r>
        <w:t>任务质量以正确完成比例\(Q\)衡量；成本\(C\)使用token消耗；时延\(L\)使用记录的服务时延。服务时延不直接等同于任意部署环境的端到端墙钟时间。质量保持率定义为\(\rho_{\mathrm{keep}}(p)=Q(p)/Q(0)\)，相应退化率为\(1-\rho_{\mathrm{keep}}(p)\)，其中无故障参考质量须大于零。负退化率表示该故障设置的平均质量高于无故障参考，不据此认定故障提高模型能力。恢复率与任务级Help/Harm分别描述受损任务的恢复和策略间正确性变化，按各自分母独立报告。</w:t>
      </w:r>
    </w:p>
    <w:p>
      <w:r>
        <w:t>预算内正确完成率定义为</w:t>
      </w:r>
    </w:p>
    <w:p>
      <w:r>
        <w:t>\[</w:t>
      </w:r>
    </w:p>
    <w:p>
      <w:r>
        <w:t>Q_\pi(B)=\frac{1}{N}\sum_{i=1}^{N}\mathbb{I}(y_{i,\pi}=1\land C_{i,\pi}\le B),</w:t>
      </w:r>
    </w:p>
    <w:p>
      <w:r>
        <w:t>\]</w:t>
      </w:r>
    </w:p>
    <w:p>
      <w:r>
        <w:t>其中\(y_{i,\pi}\)表示策略\(\pi\)是否正确完成任务。该指标根据已有轨迹进行事后评价，不代表运行过程已经实施严格的在线预算截断。跨故障种子汇总使用均值与样本标准差；同任务策略比较使用双侧精确McNemar检验。仅执行一次的无故障结果不附加人为的零标准差。</w:t>
      </w:r>
    </w:p>
    <w:p>
      <w:r>
        <w:t>待补证据｜设置闭合。 冻结任务UID排除范围、修复路径输出与费用重建尚未全部通过审计，因此本稿不写“与全部615个既用UID零重叠”，也不将Frozen 200标为已完成独立确认。最终主表必须与同一版逐任务输出及统计口径绑定。</w:t>
      </w:r>
    </w:p>
    <w:p>
      <w:pPr>
        <w:pStyle w:val="Heading2"/>
      </w:pPr>
      <w:r>
        <w:t>4.2 执行策略空间与决策粒度分析</w:t>
      </w:r>
    </w:p>
    <w:p>
      <w:r>
        <w:t>本节刻画执行结构与模型配置构成的候选空间。结构对照回答任务分解是否带来净收益，决策粒度分析则区分整体模型选择、节点分配与工作流级策略选择，形成后续动态执行和多目标调度的比较基础。</w:t>
      </w:r>
    </w:p>
    <w:p>
      <w:pPr>
        <w:pStyle w:val="Heading3"/>
      </w:pPr>
      <w:r>
        <w:t>4.2.1 单模型与静态DAG执行特征</w:t>
      </w:r>
    </w:p>
    <w:p>
      <w:r>
        <w:t>配对实验在相同任务上比较large单模型执行（Mono-L）、large承担抽取和推理的静态DAG（DAG-L-L），以及large抽取、medium推理的异构静态DAG（DAG-L-M）。这一设计分别考察执行结构变化和固定结构下模型分工的影响。</w:t>
      </w:r>
    </w:p>
    <w:p>
      <w:r>
        <w:t>表4-1 单模型与静态DAG的配对质量比较。数值为正确完成比例（%）。</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执行策略</w:t>
            </w:r>
          </w:p>
        </w:tc>
        <w:tc>
          <w:tcPr>
            <w:tcW w:type="dxa" w:w="2160"/>
          </w:tcPr>
          <w:p>
            <w:r>
              <w:t>MultiHiertt，100题</w:t>
            </w:r>
          </w:p>
        </w:tc>
        <w:tc>
          <w:tcPr>
            <w:tcW w:type="dxa" w:w="2160"/>
          </w:tcPr>
          <w:p>
            <w:r>
              <w:t>TAT-QA，200题</w:t>
            </w:r>
          </w:p>
        </w:tc>
        <w:tc>
          <w:tcPr>
            <w:tcW w:type="dxa" w:w="2160"/>
          </w:tcPr>
          <w:p>
            <w:r>
              <w:t>合计，300题</w:t>
            </w:r>
          </w:p>
        </w:tc>
      </w:tr>
      <w:tr>
        <w:tc>
          <w:tcPr>
            <w:tcW w:type="dxa" w:w="2160"/>
          </w:tcPr>
          <w:p>
            <w:r>
              <w:t>Mono-L</w:t>
            </w:r>
          </w:p>
        </w:tc>
        <w:tc>
          <w:tcPr>
            <w:tcW w:type="dxa" w:w="2160"/>
          </w:tcPr>
          <w:p>
            <w:r>
              <w:t>11.00</w:t>
            </w:r>
          </w:p>
        </w:tc>
        <w:tc>
          <w:tcPr>
            <w:tcW w:type="dxa" w:w="2160"/>
          </w:tcPr>
          <w:p>
            <w:r>
              <w:t>52.50</w:t>
            </w:r>
          </w:p>
        </w:tc>
        <w:tc>
          <w:tcPr>
            <w:tcW w:type="dxa" w:w="2160"/>
          </w:tcPr>
          <w:p>
            <w:r>
              <w:t>38.67</w:t>
            </w:r>
          </w:p>
        </w:tc>
      </w:tr>
      <w:tr>
        <w:tc>
          <w:tcPr>
            <w:tcW w:type="dxa" w:w="2160"/>
          </w:tcPr>
          <w:p>
            <w:r>
              <w:t>DAG-L-L</w:t>
            </w:r>
          </w:p>
        </w:tc>
        <w:tc>
          <w:tcPr>
            <w:tcW w:type="dxa" w:w="2160"/>
          </w:tcPr>
          <w:p>
            <w:r>
              <w:t>17.00</w:t>
            </w:r>
          </w:p>
        </w:tc>
        <w:tc>
          <w:tcPr>
            <w:tcW w:type="dxa" w:w="2160"/>
          </w:tcPr>
          <w:p>
            <w:r>
              <w:t>31.50</w:t>
            </w:r>
          </w:p>
        </w:tc>
        <w:tc>
          <w:tcPr>
            <w:tcW w:type="dxa" w:w="2160"/>
          </w:tcPr>
          <w:p>
            <w:r>
              <w:t>26.67</w:t>
            </w:r>
          </w:p>
        </w:tc>
      </w:tr>
      <w:tr>
        <w:tc>
          <w:tcPr>
            <w:tcW w:type="dxa" w:w="2160"/>
          </w:tcPr>
          <w:p>
            <w:r>
              <w:t>DAG-L-M</w:t>
            </w:r>
          </w:p>
        </w:tc>
        <w:tc>
          <w:tcPr>
            <w:tcW w:type="dxa" w:w="2160"/>
          </w:tcPr>
          <w:p>
            <w:r>
              <w:t>15.00</w:t>
            </w:r>
          </w:p>
        </w:tc>
        <w:tc>
          <w:tcPr>
            <w:tcW w:type="dxa" w:w="2160"/>
          </w:tcPr>
          <w:p>
            <w:r>
              <w:t>40.00</w:t>
            </w:r>
          </w:p>
        </w:tc>
        <w:tc>
          <w:tcPr>
            <w:tcW w:type="dxa" w:w="2160"/>
          </w:tcPr>
          <w:p>
            <w:r>
              <w:t>31.67</w:t>
            </w:r>
          </w:p>
        </w:tc>
      </w:tr>
    </w:tbl>
    <w:p>
      <w:r>
        <w:t>TAT-QA上，同模型DAG相对单模型下降21.0个百分点，差值置信区间为[−28.5, −13.5]个百分点。将推理节点改为medium后，质量相对DAG-L-L回升8.5个百分点，置信区间为[3.5, 13.5]个百分点，但仍低于单模型。由此可见，节点分工的收益与任务分解的净收益是不同问题：更合适的节点模型可以改善既定工作流，却不能自动补偿结构改变带来的全部损失。</w:t>
      </w:r>
    </w:p>
    <w:p>
      <w:r>
        <w:t>MultiHiertt上的结果方向不同，同模型DAG的点估计高于单模型6.0个百分点，但精确配对检验未达到统计显著水平（\(p=0.2101\)）。两类任务的差异说明，结构效果需要在具体输入组织和节点接口下评价。静态DAG提供分阶段处理与依赖管理的执行基础，其合理性不能仅由节点数量或模型规模判断。</w:t>
      </w:r>
    </w:p>
    <w:p>
      <w:pPr>
        <w:pStyle w:val="Heading3"/>
      </w:pPr>
      <w:r>
        <w:t>4.2.2 不同决策粒度下的执行策略比较</w:t>
      </w:r>
    </w:p>
    <w:p>
      <w:r>
        <w:t>查询级路由为完整任务选择执行模型；节点级分配在给定DAG中配置各阶段模型；工作流级调度进一步选择是否分解、是否启用反馈恢复以及采用何种执行方式。这些决策分别改变模型身份、阶段分工和整体执行机制，不能通过来自不同任务面板的准确率拼接为统一排名。</w:t>
      </w:r>
    </w:p>
    <w:p>
      <w:r>
        <w:t>表4-1提供了节点配置与执行结构共同影响端到端质量的直接证据。其余粒度比较还须保持输入、任务分母和评价对象一致，尤其需要区分条件节点质量与真实上游输出传播后的任务质量。条件节点评价刻画可利用的能力差异，端到端评价则检验这些差异能否经由节点接口转化为最终收益。</w:t>
      </w:r>
    </w:p>
    <w:p>
      <w:r>
        <w:t>待补证据｜决策粒度。 查询与节点路由面板存在新旧评分口径冲突，暂不填入质量提升数字；工作流入口门控缺少完整OOF来源链，暂不报告其性能。二者应分别补齐，不能以入口门控汇总替代状态级Pareto调度结果。</w:t>
      </w:r>
    </w:p>
    <w:p>
      <w:r>
        <w:t>因此，LLM工作流执行涉及执行结构、节点模型配置与恢复策略的联合决策。不同配置构成候选执行空间；是否能够利用这一空间获得更好的质量与资源权衡，需要在后续策略选择评价中检验。</w:t>
      </w:r>
    </w:p>
    <w:p>
      <w:pPr>
        <w:pStyle w:val="Heading2"/>
      </w:pPr>
      <w:r>
        <w:t>4.3 反馈感知的动态执行与故障恢复</w:t>
      </w:r>
    </w:p>
    <w:p>
      <w:pPr>
        <w:pStyle w:val="Heading3"/>
      </w:pPr>
      <w:r>
        <w:t>4.3.1 不同执行策略的故障鲁棒性</w:t>
      </w:r>
    </w:p>
    <w:p>
      <w:r>
        <w:t>故障鲁棒性比较以单模型、静态DAG和动态DAG为对象，同时评价无故障质量与故障下的质量保持。无故障质量刻画既定执行方式的任务求解表现，质量保持率刻画其对指定故障扰动的响应。两者应结合解释，不能仅凭较高保持率认定最终任务质量更高。</w:t>
      </w:r>
    </w:p>
    <w:p>
      <w:r>
        <w:t>动态执行引入了替代模型和下游重执行路径，也增加了节点调用与反馈处理成本。实验因此同时关注故障后仍能完成的任务、恢复成功的任务，以及引入复杂执行后丢失的原有成功任务。这样的配对分析用于判断平均质量变化来自恢复收益还是额外干预。</w:t>
      </w:r>
    </w:p>
    <w:p>
      <w:r>
        <w:t>待补证据｜故障主结果与图。 修复后的Dynamic无故障参考及故障路径尚未齐备，当前不能发布三策略鲁棒性主表或曲线。补齐后，本节统一报告各故障水平的质量、样本标准差、质量保持率及同种子配对检验，不沿用旧参考值计算保持率。当前不将“故障下退化更慢”写为已经重新认证的实验结论。</w:t>
      </w:r>
    </w:p>
    <w:p>
      <w:pPr>
        <w:pStyle w:val="Heading3"/>
      </w:pPr>
      <w:r>
        <w:t>4.3.2 反馈驱动的局部恢复机制</w:t>
      </w:r>
    </w:p>
    <w:p>
      <w:r>
        <w:t>局部恢复与整图重放的比较用于检验恢复范围控制的资源效果。两种执行方式围绕相同的检测和恢复目标展开，区别在于恢复时是否重新执行独立的已完成分支。局部恢复仅重执行失败节点及受影响后继，整图重放则重新执行完整工作流。</w:t>
      </w:r>
    </w:p>
    <w:p>
      <w:r>
        <w:t>在修正验证阶段触发逻辑后，基于120道任务已有轨迹的重分析得到表4-2。该分析保留历史上游记录，修正验证阶段的恢复判定，因此其证据范围是既有轨迹重分析，而非新会话下的独立重复。</w:t>
      </w:r>
    </w:p>
    <w:p>
      <w:r>
        <w:t>表4-2 局部恢复与整图重放的修正重分析。质量、token与服务时延分别为任务正确率和任务均值；适配调用为整个面板的累计次数，不是总模型调用次数。</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执行方式</w:t>
            </w:r>
          </w:p>
        </w:tc>
        <w:tc>
          <w:tcPr>
            <w:tcW w:type="dxa" w:w="1728"/>
          </w:tcPr>
          <w:p>
            <w:r>
              <w:t>质量（%）</w:t>
            </w:r>
          </w:p>
        </w:tc>
        <w:tc>
          <w:tcPr>
            <w:tcW w:type="dxa" w:w="1728"/>
          </w:tcPr>
          <w:p>
            <w:r>
              <w:t>平均token</w:t>
            </w:r>
          </w:p>
        </w:tc>
        <w:tc>
          <w:tcPr>
            <w:tcW w:type="dxa" w:w="1728"/>
          </w:tcPr>
          <w:p>
            <w:r>
              <w:t>累计适配调用</w:t>
            </w:r>
          </w:p>
        </w:tc>
        <w:tc>
          <w:tcPr>
            <w:tcW w:type="dxa" w:w="1728"/>
          </w:tcPr>
          <w:p>
            <w:r>
              <w:t>平均服务时延（s）</w:t>
            </w:r>
          </w:p>
        </w:tc>
      </w:tr>
      <w:tr>
        <w:tc>
          <w:tcPr>
            <w:tcW w:type="dxa" w:w="1728"/>
          </w:tcPr>
          <w:p>
            <w:r>
              <w:t>局部恢复</w:t>
            </w:r>
          </w:p>
        </w:tc>
        <w:tc>
          <w:tcPr>
            <w:tcW w:type="dxa" w:w="1728"/>
          </w:tcPr>
          <w:p>
            <w:r>
              <w:t>36.67</w:t>
            </w:r>
          </w:p>
        </w:tc>
        <w:tc>
          <w:tcPr>
            <w:tcW w:type="dxa" w:w="1728"/>
          </w:tcPr>
          <w:p>
            <w:r>
              <w:t>2351.08</w:t>
            </w:r>
          </w:p>
        </w:tc>
        <w:tc>
          <w:tcPr>
            <w:tcW w:type="dxa" w:w="1728"/>
          </w:tcPr>
          <w:p>
            <w:r>
              <w:t>320</w:t>
            </w:r>
          </w:p>
        </w:tc>
        <w:tc>
          <w:tcPr>
            <w:tcW w:type="dxa" w:w="1728"/>
          </w:tcPr>
          <w:p>
            <w:r>
              <w:t>6.75</w:t>
            </w:r>
          </w:p>
        </w:tc>
      </w:tr>
      <w:tr>
        <w:tc>
          <w:tcPr>
            <w:tcW w:type="dxa" w:w="1728"/>
          </w:tcPr>
          <w:p>
            <w:r>
              <w:t>整图重放</w:t>
            </w:r>
          </w:p>
        </w:tc>
        <w:tc>
          <w:tcPr>
            <w:tcW w:type="dxa" w:w="1728"/>
          </w:tcPr>
          <w:p>
            <w:r>
              <w:t>33.33</w:t>
            </w:r>
          </w:p>
        </w:tc>
        <w:tc>
          <w:tcPr>
            <w:tcW w:type="dxa" w:w="1728"/>
          </w:tcPr>
          <w:p>
            <w:r>
              <w:t>3506.76</w:t>
            </w:r>
          </w:p>
        </w:tc>
        <w:tc>
          <w:tcPr>
            <w:tcW w:type="dxa" w:w="1728"/>
          </w:tcPr>
          <w:p>
            <w:r>
              <w:t>644</w:t>
            </w:r>
          </w:p>
        </w:tc>
        <w:tc>
          <w:tcPr>
            <w:tcW w:type="dxa" w:w="1728"/>
          </w:tcPr>
          <w:p>
            <w:r>
              <w:t>10.95</w:t>
            </w:r>
          </w:p>
        </w:tc>
      </w:tr>
    </w:tbl>
    <w:p>
      <w:r>
        <w:t>相对整图重放，局部恢复减少32.96%的token、50.31%的适配调用和38.34%的服务时延。该结果支持以依赖关系限制重执行范围：恢复不必覆盖未受影响的独立分支，因而能够减少重复计算。</w:t>
      </w:r>
    </w:p>
    <w:p>
      <w:r>
        <w:t>局部恢复的质量点估计高出3.33个百分点，任务级Help/Harm为4/0，但差异未达到统计显著水平（精确McNemar \(p=0.125\)）。因此，这一比较更直接支持执行效率收益，不构成质量等价、非劣或额外质量优势的统计证明。</w:t>
      </w:r>
    </w:p>
    <w:p>
      <w:r>
        <w:t>恢复归因还需要区分恢复目标、反馈决策与执行范围。Static-Matched与Dynamic-Ideal的对照用于考察理想选择是否带来额外质量收益，Dynamic-Real则反映实际反馈的限制。上述质量归因与表4-2的范围控制是两个层面的证据，不能将恢复模型本身的能力归于动态选择规则。</w:t>
      </w:r>
    </w:p>
    <w:p>
      <w:r>
        <w:t>待补证据｜恢复消融。 完整归因链仍依赖修复后的执行输出，本稿不保留历史消融均值或旧质量差置信区间。</w:t>
      </w:r>
    </w:p>
    <w:p>
      <w:pPr>
        <w:pStyle w:val="Heading3"/>
      </w:pPr>
      <w:r>
        <w:t>4.3.3 故障归因与独立冻结验证</w:t>
      </w:r>
    </w:p>
    <w:p>
      <w:r>
        <w:t>故障归因区分检测、动作与修复三个环节。检测指标衡量反馈是否识别预定义失败，恢复指标衡量触发动作后任务是否成功。能够解析验证输出并不意味着能够识别语义错误，检测到错误也不意味着模型池中存在有效修复动作。因此，检测F1、恢复率和最终任务质量分别报告，避免用其中一项替代完整恢复过程。</w:t>
      </w:r>
    </w:p>
    <w:p>
      <w:r>
        <w:t>Frozen 200用于检验冻结策略在独立任务面板上的表现。任务级比较按照单模型无故障正确且故障后仍正确、无故障正确但故障后失败，以及无故障即失败三个集合拆分收益和损失。这些集合由事后正确性确定，仅用于解释策略差异，不作为调度器可读取的输入。策略间正确性差异也不直接等同于某一次恢复动作的因果作用。</w:t>
      </w:r>
    </w:p>
    <w:p>
      <w:r>
        <w:t>选择性调度oracle取同一任务、同一种子下候选策略成功集合的并集，用于衡量有限候选集合的任务级互补机会。该上界需要事后知道各策略成败，必须与相同种子的固定策略比较，并与实际选择器结果分开。</w:t>
      </w:r>
    </w:p>
    <w:p>
      <w:r>
        <w:t>待补证据｜独立冻结验证。 Frozen执行输出、费用重建、Help/Harm、分层恢复、检测归因与oracle须在同一批修复记录上重新汇总。目前不发布冻结验证数值，也不以历史“零伤害”描述替代实际配对结果。</w:t>
      </w:r>
    </w:p>
    <w:p>
      <w:pPr>
        <w:pStyle w:val="Heading2"/>
      </w:pPr>
      <w:r>
        <w:t>4.4 Pareto感知的多目标协同调度</w:t>
      </w:r>
    </w:p>
    <w:p>
      <w:r>
        <w:t>执行策略同时涉及节点模型分配\(X\)、执行结构\(Y\)和恢复规则\(Z\)，记为\(\pi=(X,Y,Z)\)。本节考察给定任务状态、故障条件和资源预算下，在已评估候选集合\(\Pi_{\mathrm{eval}}\)中选择执行策略的问题。质量、成本和时延用于多目标评价；可靠性由故障条件下的质量保持及恢复行为刻画，不另外构造未经验证的综合标量。当前范围是候选策略选择Selection(\(\Pi_{\mathrm{eval}}\))，不涉及自动生成或搜索完整工作流空间。</w:t>
      </w:r>
    </w:p>
    <w:p>
      <w:pPr>
        <w:pStyle w:val="Heading3"/>
      </w:pPr>
      <w:r>
        <w:t>4.4.1 多目标权衡与Pareto前沿分析</w:t>
      </w:r>
    </w:p>
    <w:p>
      <w:r>
        <w:t>Pareto分析比较同一任务面板、同一故障条件下候选策略的质量、成本和时延。若一个策略在所比较目标上均不劣于另一个策略，且至少一个目标更优，则形成支配关系。经验前沿只描述当前候选集合，不代表完整组合空间的全局前沿。</w:t>
      </w:r>
    </w:p>
    <w:p>
      <w:r>
        <w:t>预算分析进一步使用\(Q_\pi(B)\)评价资源约束下的正确完成比例。平均质量较高不意味着在每个预算内都能正确完成更多任务，平均成本较低也不能替代逐任务预算判定。因此，前沿、预算表现与质量保持共同提供策略选择的评价依据。Hypervolume作为候选集合覆盖程度的补充量，其归一化、参考点和计算维度应随结果报告保留。</w:t>
      </w:r>
    </w:p>
    <w:p>
      <w:r>
        <w:t>待补证据｜多目标主结果。 故障路径和成本修复影响前沿、预算曲线与Hypervolume，三者必须从同版逐任务输出重算。当前不保留“Dynamic进入前沿”或“Frozen复现预算交叉”的结果句，不以旧图承载新的审计口径。</w:t>
      </w:r>
    </w:p>
    <w:p>
      <w:pPr>
        <w:pStyle w:val="Heading3"/>
      </w:pPr>
      <w:r>
        <w:t>4.4.2 多目标策略选择方法比较</w:t>
      </w:r>
    </w:p>
    <w:p>
      <w:r>
        <w:t>策略选择评价需要区分任务级入口门控与状态级调度。Selective-DAG在执行前决定采用单模型还是DAG；状态级Pareto调度则根据故障条件和预算，在已部署策略中选择执行方式。两者的决策输入、评价单元和验证划分不同，应分别比较对应的Random、Cost-only、Accuracy-only及Weighted Sum规则。</w:t>
      </w:r>
    </w:p>
    <w:p>
      <w:r>
        <w:t>状态级评价采用跨故障种子的校准与留出方式，不能据此声称未见任务上的泛化能力。选择器除报告平均预算内正确完成率外，还应报告逐状态差异及相对最佳固定候选的经验regret。平均值相同不能推出逐状态不劣；Pareto过滤也不自动保证留出状态下的决策优于所有固定规则。</w:t>
      </w:r>
    </w:p>
    <w:p>
      <w:r>
        <w:t>待补证据｜选择器效果。 状态级调度的底层执行仍待重评，入口门控的OOF预测、特征和成本来源链仍不完整。本节暂不填入基线性能排名。历史逐状态安全主张已撤回，不能通过平均表现重新引入。</w:t>
      </w:r>
    </w:p>
    <w:p>
      <w:pPr>
        <w:pStyle w:val="Heading3"/>
      </w:pPr>
      <w:r>
        <w:t>4.4.3 候选策略扩展与有效优化空间分析</w:t>
      </w:r>
    </w:p>
    <w:p>
      <w:r>
        <w:t>候选扩展分析考察增加验证器或整图重放是否带来新的平均权衡，以及是否增加任务级互补性。这两个问题分别由同条件Pareto比较和成功集合并集回答。Oracle gap扩大只表示潜在选择机会增加，不代表部署选择器已实现相应收益。</w:t>
      </w:r>
    </w:p>
    <w:p>
      <w:r>
        <w:t>受限工作流配置分析固定DAG结构和两个抽取节点的large模型，在推理与验证节点分别选择medium、large或coder，并组合无恢复与局部切换两种规则，形成18个配置。该设置能够检验有限配置空间中的模型分配和恢复交互，但不覆盖拓扑搜索。二维、三维及带实际容差的Pareto分析用于区分形式非支配关系与资源差异的量级。</w:t>
      </w:r>
    </w:p>
    <w:p>
      <w:r>
        <w:t>待补证据｜候选扩展与Exact Pareto。 旧配置结果受到评分键和恢复路径实现问题影响，不能支持“有效空间坍缩”。待修复路径齐备后，重新生成18配置×3种子的质量、成本、时延、前沿及成员稳定性。当前不据未通过审计的坍缩结果论证复杂搜索无必要。</w:t>
      </w:r>
    </w:p>
    <w:p>
      <w:pPr>
        <w:pStyle w:val="Heading2"/>
      </w:pPr>
      <w:r>
        <w:t>4.5 跨任务适用边界分析</w:t>
      </w:r>
    </w:p>
    <w:p>
      <w:r>
        <w:t>本节以不同任务接口下的现有执行结果分析适用条件，不将其视为统一故障协议下的跨域泛化验证。表4-3并列报告TAT-QA、Math和MBPP已有配置；空缺表示对应面板未执行该方法。</w:t>
      </w:r>
    </w:p>
    <w:p>
      <w:r>
        <w:t>表4-3 不同任务接口下执行策略的适用性比较。数值为正确完成比例（%）；各列是分别冻结的任务面板，不能跨列汇总。外部方法为项目中的适配实现，以“-style”标记。</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执行策略</w:t>
            </w:r>
          </w:p>
        </w:tc>
        <w:tc>
          <w:tcPr>
            <w:tcW w:type="dxa" w:w="2160"/>
          </w:tcPr>
          <w:p>
            <w:r>
              <w:t>TAT-QA，200题</w:t>
            </w:r>
          </w:p>
        </w:tc>
        <w:tc>
          <w:tcPr>
            <w:tcW w:type="dxa" w:w="2160"/>
          </w:tcPr>
          <w:p>
            <w:r>
              <w:t>Math，100题</w:t>
            </w:r>
          </w:p>
        </w:tc>
        <w:tc>
          <w:tcPr>
            <w:tcW w:type="dxa" w:w="2160"/>
          </w:tcPr>
          <w:p>
            <w:r>
              <w:t>MBPP，100题</w:t>
            </w:r>
          </w:p>
        </w:tc>
      </w:tr>
      <w:tr>
        <w:tc>
          <w:tcPr>
            <w:tcW w:type="dxa" w:w="2160"/>
          </w:tcPr>
          <w:p>
            <w:r>
              <w:t>Single LLM（large）</w:t>
            </w:r>
          </w:p>
        </w:tc>
        <w:tc>
          <w:tcPr>
            <w:tcW w:type="dxa" w:w="2160"/>
          </w:tcPr>
          <w:p>
            <w:r>
              <w:t>52.50</w:t>
            </w:r>
          </w:p>
        </w:tc>
        <w:tc>
          <w:tcPr>
            <w:tcW w:type="dxa" w:w="2160"/>
          </w:tcPr>
          <w:p>
            <w:r>
              <w:t>54.00</w:t>
            </w:r>
          </w:p>
        </w:tc>
        <w:tc>
          <w:tcPr>
            <w:tcW w:type="dxa" w:w="2160"/>
          </w:tcPr>
          <w:p>
            <w:r>
              <w:t>76.00</w:t>
            </w:r>
          </w:p>
        </w:tc>
      </w:tr>
      <w:tr>
        <w:tc>
          <w:tcPr>
            <w:tcW w:type="dxa" w:w="2160"/>
          </w:tcPr>
          <w:p>
            <w:r>
              <w:t>Static DAG</w:t>
            </w:r>
          </w:p>
        </w:tc>
        <w:tc>
          <w:tcPr>
            <w:tcW w:type="dxa" w:w="2160"/>
          </w:tcPr>
          <w:p>
            <w:r>
              <w:t>31.50</w:t>
            </w:r>
          </w:p>
        </w:tc>
        <w:tc>
          <w:tcPr>
            <w:tcW w:type="dxa" w:w="2160"/>
          </w:tcPr>
          <w:p>
            <w:r>
              <w:t>15.00</w:t>
            </w:r>
          </w:p>
        </w:tc>
        <w:tc>
          <w:tcPr>
            <w:tcW w:type="dxa" w:w="2160"/>
          </w:tcPr>
          <w:p>
            <w:r>
              <w:t>74.00</w:t>
            </w:r>
          </w:p>
        </w:tc>
      </w:tr>
      <w:tr>
        <w:tc>
          <w:tcPr>
            <w:tcW w:type="dxa" w:w="2160"/>
          </w:tcPr>
          <w:p>
            <w:r>
              <w:t>Dynamic DAG</w:t>
            </w:r>
          </w:p>
        </w:tc>
        <w:tc>
          <w:tcPr>
            <w:tcW w:type="dxa" w:w="2160"/>
          </w:tcPr>
          <w:p>
            <w:r>
              <w:t>—</w:t>
            </w:r>
          </w:p>
        </w:tc>
        <w:tc>
          <w:tcPr>
            <w:tcW w:type="dxa" w:w="2160"/>
          </w:tcPr>
          <w:p>
            <w:r>
              <w:t>16.00</w:t>
            </w:r>
          </w:p>
        </w:tc>
        <w:tc>
          <w:tcPr>
            <w:tcW w:type="dxa" w:w="2160"/>
          </w:tcPr>
          <w:p>
            <w:r>
              <w:t>80.00</w:t>
            </w:r>
          </w:p>
        </w:tc>
      </w:tr>
      <w:tr>
        <w:tc>
          <w:tcPr>
            <w:tcW w:type="dxa" w:w="2160"/>
          </w:tcPr>
          <w:p>
            <w:r>
              <w:t>RouteLLM-style</w:t>
            </w:r>
          </w:p>
        </w:tc>
        <w:tc>
          <w:tcPr>
            <w:tcW w:type="dxa" w:w="2160"/>
          </w:tcPr>
          <w:p>
            <w:r>
              <w:t>52.50</w:t>
            </w:r>
          </w:p>
        </w:tc>
        <w:tc>
          <w:tcPr>
            <w:tcW w:type="dxa" w:w="2160"/>
          </w:tcPr>
          <w:p>
            <w:r>
              <w:t>—</w:t>
            </w:r>
          </w:p>
        </w:tc>
        <w:tc>
          <w:tcPr>
            <w:tcW w:type="dxa" w:w="2160"/>
          </w:tcPr>
          <w:p>
            <w:r>
              <w:t>76.00</w:t>
            </w:r>
          </w:p>
        </w:tc>
      </w:tr>
      <w:tr>
        <w:tc>
          <w:tcPr>
            <w:tcW w:type="dxa" w:w="2160"/>
          </w:tcPr>
          <w:p>
            <w:r>
              <w:t>FrugalGPT-style</w:t>
            </w:r>
          </w:p>
        </w:tc>
        <w:tc>
          <w:tcPr>
            <w:tcW w:type="dxa" w:w="2160"/>
          </w:tcPr>
          <w:p>
            <w:r>
              <w:t>32.50</w:t>
            </w:r>
          </w:p>
        </w:tc>
        <w:tc>
          <w:tcPr>
            <w:tcW w:type="dxa" w:w="2160"/>
          </w:tcPr>
          <w:p>
            <w:r>
              <w:t>—</w:t>
            </w:r>
          </w:p>
        </w:tc>
        <w:tc>
          <w:tcPr>
            <w:tcW w:type="dxa" w:w="2160"/>
          </w:tcPr>
          <w:p>
            <w:r>
              <w:t>81.00</w:t>
            </w:r>
          </w:p>
        </w:tc>
      </w:tr>
      <w:tr>
        <w:tc>
          <w:tcPr>
            <w:tcW w:type="dxa" w:w="2160"/>
          </w:tcPr>
          <w:p>
            <w:r>
              <w:t>Self-Refine-style</w:t>
            </w:r>
          </w:p>
        </w:tc>
        <w:tc>
          <w:tcPr>
            <w:tcW w:type="dxa" w:w="2160"/>
          </w:tcPr>
          <w:p>
            <w:r>
              <w:t>8.00</w:t>
            </w:r>
          </w:p>
        </w:tc>
        <w:tc>
          <w:tcPr>
            <w:tcW w:type="dxa" w:w="2160"/>
          </w:tcPr>
          <w:p>
            <w:r>
              <w:t>—</w:t>
            </w:r>
          </w:p>
        </w:tc>
        <w:tc>
          <w:tcPr>
            <w:tcW w:type="dxa" w:w="2160"/>
          </w:tcPr>
          <w:p>
            <w:r>
              <w:t>85.00</w:t>
            </w:r>
          </w:p>
        </w:tc>
      </w:tr>
    </w:tbl>
    <w:p>
      <w:r>
        <w:t>注：TAT-QA列的Static DAG为DAG-L-L；该列没有同面板Dynamic结果，不用开发或Frozen面板补齐。</w:t>
      </w:r>
    </w:p>
    <w:p>
      <w:r>
        <w:t>Math中，Dynamic相对Static仅增加1个百分点，精确配对检验\(p=1.0\)。其与单模型的较大差距不能仅归因于模型推理能力：当前工作流在推理模型分配和验证输出覆盖规则上均改变了端到端执行过程。验证节点能够输出可解析结构，也不等于其修订值能够可靠地替换上游答案。该结果说明，反馈的可解析性与纠正作用需要分别评价。</w:t>
      </w:r>
    </w:p>
    <w:p>
      <w:r>
        <w:t>MBPP中，Dynamic相对Static的质量点估计增加6个百分点，Help/Harm为7/1，但精确McNemar检验未达到统计显著水平（\(p=0.0703\)）；相对Single的差异同样不显著（\(p=0.3877\)）。代码测试提供了更直接的可执行反馈，但Dynamic仍有22道任务超出该面板的事后参考预算，说明质量与资源评价不能分离。</w:t>
      </w:r>
    </w:p>
    <w:p>
      <w:r>
        <w:t>Self-Refine-style在MBPP上的质量点估计为85%，高于Dynamic的80%；两者差异未达到统计显著水平（\(p=0.267\)）。这一对照保留了不同反馈组织方式之间的选择问题：存在可执行反馈，并不意味着DAG式局部恢复必然是最合适的执行方式。TAT-QA、Math与MBPP的结果共同要求调度器关注任务接口、反馈可诊断性以及可用恢复动作，而非仅凭任务复杂度统一启用Dynamic。</w:t>
      </w:r>
    </w:p>
    <w:p>
      <w:pPr>
        <w:pStyle w:val="Heading2"/>
      </w:pPr>
      <w:r>
        <w:t>4.6 本章小结</w:t>
      </w:r>
    </w:p>
    <w:p>
      <w:r>
        <w:t>配对结构实验表明，任务分解与模型分工对端到端质量具有不同作用，节点配置改善不能自动转化为相对单模型的净收益。修正后的局部恢复重分析则支持依赖感知范围控制的资源价值：减少未受影响分支的重复执行可以降低恢复开销，而质量差异仍须由配对统计评价。</w:t>
      </w:r>
    </w:p>
    <w:p>
      <w:r>
        <w:t>不同任务接口下的结果进一步表明，反馈是否可执行、能否定位错误以及恢复动作是否合适，是评价复杂工作流的必要维度。这些证据为有限候选执行策略上的Pareto感知多目标协同调度提供动机；其实际选择收益仍需与固定策略及简单选择规则直接比较。</w:t>
      </w:r>
    </w:p>
    <w:p>
      <w:r>
        <w:t>待补证据｜小结闭合。 主故障、Frozen与选择器审计完成后，再依据新结果补入质量保持、独立确认和选择收益的结论。目前本章不宣称已经验证Pareto调度优越性，也不以尚未完成的结果论证未来搜索的预期性能。</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