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97152" behindDoc="0" locked="0" layoutInCell="1" allowOverlap="1">
                <wp:simplePos x="0" y="0"/>
                <wp:positionH relativeFrom="column">
                  <wp:posOffset>2604135</wp:posOffset>
                </wp:positionH>
                <wp:positionV relativeFrom="paragraph">
                  <wp:posOffset>311785</wp:posOffset>
                </wp:positionV>
                <wp:extent cx="391350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91350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5.05pt;margin-top:24.55pt;height:156.35pt;width:308.15pt;mso-wrap-distance-bottom:3.6pt;mso-wrap-distance-left:9pt;mso-wrap-distance-right:9pt;mso-wrap-distance-top:3.6pt;z-index:251697152;mso-width-relative:page;mso-height-relative:page;" filled="f" stroked="f" coordsize="21600,21600" o:gfxdata="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HoQstcAAAALAQAADwAAAAAAAAABACAAAAAiAAAAZHJzL2Rvd25yZXYueG1sUEsBAhQAFAAAAAgA&#10;h07iQDnd1aAmAgAALAQAAA4AAAAAAAAAAQAgAAAAJg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pgBorders>
            <w:top w:val="none" w:sz="0" w:space="0"/>
            <w:left w:val="none" w:sz="0" w:space="0"/>
            <w:bottom w:val="none" w:sz="0" w:space="0"/>
            <w:right w:val="none" w:sz="0" w:space="0"/>
          </w:pgBorders>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+RNA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{{linchuang}}</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{{result}}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{{important}}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693"/>
        <w:gridCol w:w="873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187"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{{important_f_results}}</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187"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未发现</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3475"/>
        <w:gridCol w:w="347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{{obj.D_name}}</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{{obj.D_name2}}</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{{obj.D_sequences2}}{%endfor%}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4</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rFonts w:hint="eastAsia"/>
          <w:color w:val="262626" w:themeColor="text1" w:themeTint="D9"/>
          <w:lang w:val="en-US" w:eastAsia="zh-CN"/>
          <w14:textFill>
            <w14:solidFill>
              <w14:schemeClr w14:val="tx1">
                <w14:lumMod w14:val="85000"/>
                <w14:lumOff w14:val="15000"/>
              </w14:schemeClr>
            </w14:solidFill>
          </w14:textFill>
        </w:rPr>
        <w:t>RNA</w:t>
      </w:r>
      <w:r>
        <w:rPr>
          <w:color w:val="262626" w:themeColor="text1" w:themeTint="D9"/>
          <w14:textFill>
            <w14:solidFill>
              <w14:schemeClr w14:val="tx1">
                <w14:lumMod w14:val="85000"/>
                <w14:lumOff w14:val="15000"/>
              </w14:schemeClr>
            </w14:solidFill>
          </w14:textFill>
        </w:rPr>
        <w:t>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3"/>
        <w:gridCol w:w="3475"/>
        <w:gridCol w:w="347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未发现</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p>
        </w:tc>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5</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hint="eastAsia" w:ascii="Times New Roman" w:hAnsi="Times New Roman" w:cs="Times New Roman" w:eastAsiaTheme="majorEastAsia"/>
          <w:b/>
          <w:lang w:val="en-US" w:eastAsia="zh-CN"/>
        </w:rPr>
        <w:t>6</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4" w:colFirst="0" w:colLast="5"/>
            <w:bookmarkStart w:id="4" w:name="OLE_LINK1" w:colFirst="0" w:colLast="2"/>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8</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9"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Align w:val="center"/>
          </w:tcPr>
          <w:p>
            <w:pPr>
              <w:pStyle w:val="20"/>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未发现</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499"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hint="default" w:eastAsia="仿宋"/>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{{explain}}{%for obj in list_10%}{{obj.species_Cname}}（{{obj.species_Ename}}）{{obj.des_C}}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bookmarkStart w:id="8" w:name="_GoBack"/>
      <w:bookmarkEnd w:id="8"/>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2613025</wp:posOffset>
            </wp:positionH>
            <wp:positionV relativeFrom="paragraph">
              <wp:posOffset>113665</wp:posOffset>
            </wp:positionV>
            <wp:extent cx="953770" cy="333375"/>
            <wp:effectExtent l="0" t="0" r="17780" b="9525"/>
            <wp:wrapNone/>
            <wp:docPr id="9" name="图片 9"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15359\Desktop\图片1.png图片1"/>
                    <pic:cNvPicPr>
                      <a:picLocks noChangeAspect="1" noChangeArrowheads="1"/>
                    </pic:cNvPicPr>
                  </pic:nvPicPr>
                  <pic:blipFill>
                    <a:blip r:embed="rId13"/>
                    <a:srcRect/>
                    <a:stretch>
                      <a:fillRect/>
                    </a:stretch>
                  </pic:blipFill>
                  <pic:spPr>
                    <a:xfrm>
                      <a:off x="0" y="0"/>
                      <a:ext cx="953770" cy="333375"/>
                    </a:xfrm>
                    <a:prstGeom prst="rect">
                      <a:avLst/>
                    </a:prstGeom>
                    <a:noFill/>
                    <a:ln>
                      <a:noFill/>
                    </a:ln>
                  </pic:spPr>
                </pic:pic>
              </a:graphicData>
            </a:graphic>
          </wp:anchor>
        </w:drawing>
      </w: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keepNext w:val="0"/>
        <w:keepLines w:val="0"/>
        <w:pageBreakBefore w:val="0"/>
        <w:widowControl w:val="0"/>
        <w:kinsoku/>
        <w:wordWrap/>
        <w:overflowPunct/>
        <w:topLinePunct w:val="0"/>
        <w:autoSpaceDE w:val="0"/>
        <w:autoSpaceDN w:val="0"/>
        <w:bidi w:val="0"/>
        <w:adjustRightInd/>
        <w:snapToGrid w:val="0"/>
        <w:spacing w:line="360" w:lineRule="auto"/>
        <w:ind w:firstLine="400" w:firstLineChars="200"/>
        <w:jc w:val="both"/>
        <w:textAlignment w:val="auto"/>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keepNext w:val="0"/>
        <w:keepLines w:val="0"/>
        <w:pageBreakBefore w:val="0"/>
        <w:widowControl w:val="0"/>
        <w:kinsoku/>
        <w:wordWrap/>
        <w:overflowPunct/>
        <w:topLinePunct w:val="0"/>
        <w:autoSpaceDE w:val="0"/>
        <w:autoSpaceDN w:val="0"/>
        <w:bidi w:val="0"/>
        <w:adjustRightInd/>
        <w:snapToGrid w:val="0"/>
        <w:spacing w:line="360" w:lineRule="auto"/>
        <w:ind w:firstLine="400" w:firstLineChars="200"/>
        <w:jc w:val="both"/>
        <w:textAlignment w:val="auto"/>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检测范围</w:t>
      </w:r>
    </w:p>
    <w:p>
      <w:pPr>
        <w:pStyle w:val="3"/>
        <w:tabs>
          <w:tab w:val="clear" w:pos="627"/>
        </w:tabs>
        <w:snapToGrid w:val="0"/>
        <w:jc w:val="center"/>
        <w:rPr>
          <w:color w:val="262626" w:themeColor="text1" w:themeTint="D9"/>
          <w:sz w:val="22"/>
          <w:szCs w:val="22"/>
          <w14:textFill>
            <w14:solidFill>
              <w14:schemeClr w14:val="tx1">
                <w14:lumMod w14:val="85000"/>
                <w14:lumOff w14:val="15000"/>
              </w14:schemeClr>
            </w14:solidFill>
          </w14:textFill>
        </w:rPr>
      </w:pPr>
      <w:r>
        <w:rPr>
          <w:rFonts w:hint="eastAsia" w:asciiTheme="majorEastAsia" w:hAnsiTheme="majorEastAsia" w:eastAsiaTheme="majorEastAsia"/>
          <w:sz w:val="20"/>
          <w:szCs w:val="20"/>
          <w:lang w:val="en-US" w:bidi="ar-SA"/>
        </w:rPr>
        <w:drawing>
          <wp:inline distT="0" distB="0" distL="114300" distR="114300">
            <wp:extent cx="5143500" cy="3202940"/>
            <wp:effectExtent l="0" t="0" r="0" b="16510"/>
            <wp:docPr id="3" name="图片 3" descr="检测病原分类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检测病原分类_画板 1"/>
                    <pic:cNvPicPr>
                      <a:picLocks noChangeAspect="1"/>
                    </pic:cNvPicPr>
                  </pic:nvPicPr>
                  <pic:blipFill>
                    <a:blip r:embed="rId16"/>
                    <a:stretch>
                      <a:fillRect/>
                    </a:stretch>
                  </pic:blipFill>
                  <pic:spPr>
                    <a:xfrm>
                      <a:off x="0" y="0"/>
                      <a:ext cx="5151009" cy="3208138"/>
                    </a:xfrm>
                    <a:prstGeom prst="rect">
                      <a:avLst/>
                    </a:prstGeom>
                  </pic:spPr>
                </pic:pic>
              </a:graphicData>
            </a:graphic>
          </wp:inline>
        </w:drawing>
      </w: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default" w:ascii="Times New Roman" w:hAnsi="Times New Roman" w:cs="Times New Roman"/>
        </w:rPr>
        <w:fldChar w:fldCharType="begin"/>
      </w:r>
      <w:r>
        <w:rPr>
          <w:rFonts w:hint="default" w:ascii="Times New Roman" w:hAnsi="Times New Roman" w:cs="Times New Roman"/>
        </w:rPr>
        <w:instrText xml:space="preserve"> HYPERLINK "https://www.cdc.gov"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https://www.cdc.gov</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default" w:ascii="Times New Roman" w:hAnsi="Times New Roman" w:cs="Times New Roman"/>
        </w:rPr>
        <w:fldChar w:fldCharType="begin"/>
      </w:r>
      <w:r>
        <w:rPr>
          <w:rFonts w:hint="default" w:ascii="Times New Roman" w:hAnsi="Times New Roman" w:cs="Times New Roman"/>
        </w:rPr>
        <w:instrText xml:space="preserve"> HYPERLINK "https://ecdc.europa.eu/"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https://ecdc.europa.eu/</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NCBI Pathogen Detection, </w:t>
      </w:r>
      <w:r>
        <w:rPr>
          <w:rFonts w:hint="default" w:ascii="Times New Roman" w:hAnsi="Times New Roman" w:cs="Times New Roman"/>
        </w:rPr>
        <w:fldChar w:fldCharType="begin"/>
      </w:r>
      <w:r>
        <w:rPr>
          <w:rFonts w:hint="default" w:ascii="Times New Roman" w:hAnsi="Times New Roman" w:cs="Times New Roman"/>
        </w:rPr>
        <w:instrText xml:space="preserve"> HYPERLINK "https://www.ncbi.nlm.nih.gov/pathogens/"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https://www.ncbi.nlm.nih.gov/pathogens/</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PHI-base :: Pathogen Host Interactions, </w:t>
      </w:r>
      <w:r>
        <w:rPr>
          <w:rFonts w:hint="default" w:ascii="Times New Roman" w:hAnsi="Times New Roman" w:cs="Times New Roman"/>
        </w:rPr>
        <w:fldChar w:fldCharType="begin"/>
      </w:r>
      <w:r>
        <w:rPr>
          <w:rFonts w:hint="default" w:ascii="Times New Roman" w:hAnsi="Times New Roman" w:cs="Times New Roman"/>
        </w:rPr>
        <w:instrText xml:space="preserve"> HYPERLINK "http://www.phi-base.org"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http://www.phi-base.org</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3"/>
        </w:numPr>
        <w:adjustRightInd w:val="0"/>
        <w:snapToGrid w:val="0"/>
        <w:spacing w:before="0" w:line="360" w:lineRule="auto"/>
        <w:ind w:left="420" w:hanging="42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715" w:footer="567"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pgBorders>
        <w:top w:val="none" w:sz="0" w:space="0"/>
        <w:left w:val="none" w:sz="0" w:space="0"/>
        <w:bottom w:val="none" w:sz="0" w:space="0"/>
        <w:right w:val="none" w:sz="0" w:space="0"/>
      </w:pgBorders>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5608" w:tblpY="582"/>
      <w:tblOverlap w:val="never"/>
      <w:tblW w:w="5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5533"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2525"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300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aj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C05799"/>
    <w:multiLevelType w:val="singleLevel"/>
    <w:tmpl w:val="AFC05799"/>
    <w:lvl w:ilvl="0" w:tentative="0">
      <w:start w:val="1"/>
      <w:numFmt w:val="decimal"/>
      <w:suff w:val="space"/>
      <w:lvlText w:val="%1."/>
      <w:lvlJc w:val="left"/>
    </w:lvl>
  </w:abstractNum>
  <w:abstractNum w:abstractNumId="1">
    <w:nsid w:val="04C22E66"/>
    <w:multiLevelType w:val="multilevel"/>
    <w:tmpl w:val="04C22E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27B560C"/>
    <w:rsid w:val="033024A6"/>
    <w:rsid w:val="038679C1"/>
    <w:rsid w:val="039B409F"/>
    <w:rsid w:val="040F01C5"/>
    <w:rsid w:val="043F32FE"/>
    <w:rsid w:val="04A26EF2"/>
    <w:rsid w:val="04C34859"/>
    <w:rsid w:val="05715F38"/>
    <w:rsid w:val="06203F35"/>
    <w:rsid w:val="06211FB3"/>
    <w:rsid w:val="06686415"/>
    <w:rsid w:val="068A55DE"/>
    <w:rsid w:val="06A73768"/>
    <w:rsid w:val="06BB1095"/>
    <w:rsid w:val="06C8736F"/>
    <w:rsid w:val="06D77694"/>
    <w:rsid w:val="06F6362A"/>
    <w:rsid w:val="075F08CC"/>
    <w:rsid w:val="07763300"/>
    <w:rsid w:val="07A73B9F"/>
    <w:rsid w:val="07B77139"/>
    <w:rsid w:val="07E83729"/>
    <w:rsid w:val="07E8621F"/>
    <w:rsid w:val="07FF2EDC"/>
    <w:rsid w:val="083338E4"/>
    <w:rsid w:val="08440585"/>
    <w:rsid w:val="086F646E"/>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21435C"/>
    <w:rsid w:val="163A4FD1"/>
    <w:rsid w:val="164F722E"/>
    <w:rsid w:val="16532E04"/>
    <w:rsid w:val="1658197A"/>
    <w:rsid w:val="167E3BE2"/>
    <w:rsid w:val="16D62A53"/>
    <w:rsid w:val="170F572F"/>
    <w:rsid w:val="1722608D"/>
    <w:rsid w:val="17577812"/>
    <w:rsid w:val="17685002"/>
    <w:rsid w:val="178E1997"/>
    <w:rsid w:val="17A237B5"/>
    <w:rsid w:val="17DC7C47"/>
    <w:rsid w:val="17EB6F7D"/>
    <w:rsid w:val="18221BAA"/>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EB831B7"/>
    <w:rsid w:val="1F603ECB"/>
    <w:rsid w:val="1F9152DC"/>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62318A"/>
    <w:rsid w:val="27743BE5"/>
    <w:rsid w:val="27AD65B3"/>
    <w:rsid w:val="27C903B7"/>
    <w:rsid w:val="282A4BAB"/>
    <w:rsid w:val="283A3099"/>
    <w:rsid w:val="285826E3"/>
    <w:rsid w:val="28B75F53"/>
    <w:rsid w:val="28BE5BB5"/>
    <w:rsid w:val="2912454C"/>
    <w:rsid w:val="294B5E59"/>
    <w:rsid w:val="297A1B53"/>
    <w:rsid w:val="299D675A"/>
    <w:rsid w:val="2AC52247"/>
    <w:rsid w:val="2ADB1517"/>
    <w:rsid w:val="2B2C1CAE"/>
    <w:rsid w:val="2BFD4A42"/>
    <w:rsid w:val="2C926220"/>
    <w:rsid w:val="2C9A1ADB"/>
    <w:rsid w:val="2CBE556B"/>
    <w:rsid w:val="2CEE7B07"/>
    <w:rsid w:val="2D8638EA"/>
    <w:rsid w:val="2D94748A"/>
    <w:rsid w:val="2DE608FB"/>
    <w:rsid w:val="2E2913D3"/>
    <w:rsid w:val="2E593734"/>
    <w:rsid w:val="2E96704B"/>
    <w:rsid w:val="2EB44547"/>
    <w:rsid w:val="2F446986"/>
    <w:rsid w:val="2F4B3A43"/>
    <w:rsid w:val="303173B0"/>
    <w:rsid w:val="3075018E"/>
    <w:rsid w:val="30C6773A"/>
    <w:rsid w:val="30D07CF4"/>
    <w:rsid w:val="30E011C2"/>
    <w:rsid w:val="31420DDD"/>
    <w:rsid w:val="3147400E"/>
    <w:rsid w:val="314E276C"/>
    <w:rsid w:val="325875F6"/>
    <w:rsid w:val="32CB46F5"/>
    <w:rsid w:val="330C1891"/>
    <w:rsid w:val="333472E5"/>
    <w:rsid w:val="3342637E"/>
    <w:rsid w:val="337A604A"/>
    <w:rsid w:val="33F456BA"/>
    <w:rsid w:val="34844472"/>
    <w:rsid w:val="34DD1455"/>
    <w:rsid w:val="352423D5"/>
    <w:rsid w:val="355E3BFA"/>
    <w:rsid w:val="361D3E07"/>
    <w:rsid w:val="36CC27D2"/>
    <w:rsid w:val="3707163C"/>
    <w:rsid w:val="370C5988"/>
    <w:rsid w:val="373862BF"/>
    <w:rsid w:val="373B4E99"/>
    <w:rsid w:val="375B29CF"/>
    <w:rsid w:val="377E51DD"/>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997E4B"/>
    <w:rsid w:val="45EC6F23"/>
    <w:rsid w:val="46265163"/>
    <w:rsid w:val="46817F9E"/>
    <w:rsid w:val="46826E78"/>
    <w:rsid w:val="47543819"/>
    <w:rsid w:val="47C0255C"/>
    <w:rsid w:val="47E803E7"/>
    <w:rsid w:val="482D65B0"/>
    <w:rsid w:val="4875392C"/>
    <w:rsid w:val="48D228E2"/>
    <w:rsid w:val="48D60B63"/>
    <w:rsid w:val="492C6171"/>
    <w:rsid w:val="493D191A"/>
    <w:rsid w:val="49472141"/>
    <w:rsid w:val="496A7E77"/>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9B1826"/>
    <w:rsid w:val="53F5288C"/>
    <w:rsid w:val="540D2F58"/>
    <w:rsid w:val="545756C0"/>
    <w:rsid w:val="54A241A2"/>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296337"/>
    <w:rsid w:val="59BD0AE1"/>
    <w:rsid w:val="59EA1870"/>
    <w:rsid w:val="5AAB5ECB"/>
    <w:rsid w:val="5AF6630D"/>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E55697E"/>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2875232"/>
    <w:rsid w:val="631C04B1"/>
    <w:rsid w:val="634548B2"/>
    <w:rsid w:val="643F2129"/>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CFE435D"/>
    <w:rsid w:val="6D3E1498"/>
    <w:rsid w:val="6D6D7E4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8F344B"/>
    <w:rsid w:val="76926D90"/>
    <w:rsid w:val="769B28F1"/>
    <w:rsid w:val="769E6340"/>
    <w:rsid w:val="76F017EB"/>
    <w:rsid w:val="76F2042D"/>
    <w:rsid w:val="770F1C3B"/>
    <w:rsid w:val="775251CC"/>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10B20"/>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1</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2021-02-01T05:25:50Z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