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Table05 Software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AF4FB"/>
          </w:tcPr>
          <w:p>
            <w:pPr>
              <w:jc w:val="left"/>
            </w:pPr>
            <w:r>
              <w:rPr>
                <w:b/>
                <w:sz w:val="16"/>
              </w:rPr>
              <w:t>Subsystem</w:t>
            </w:r>
          </w:p>
        </w:tc>
        <w:tc>
          <w:tcPr>
            <w:tcW w:type="dxa" w:w="4320"/>
            <w:shd w:fill="EAF4FB"/>
          </w:tcPr>
          <w:p>
            <w:pPr>
              <w:jc w:val="left"/>
            </w:pPr>
            <w:r>
              <w:rPr>
                <w:b/>
                <w:sz w:val="16"/>
              </w:rPr>
              <w:t>Responsibility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Repository construction services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Deterministic generation of repository segments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Repository management services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Inventory, catalogs, and lifecycle management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Verification services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Independent repository validation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Metadata services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Repository and product description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Observatory execution framework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Run reusable computational investigations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Product management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Preserve and organize persistent outputs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Registry services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Discover observatories and products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Publisher services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Generate publication figures, tables, manuscript drafts, and publication manifests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