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Table06 Reproducibility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AF4FB"/>
          </w:tcPr>
          <w:p>
            <w:pPr>
              <w:jc w:val="left"/>
            </w:pPr>
            <w:r>
              <w:rPr>
                <w:b/>
                <w:sz w:val="16"/>
              </w:rPr>
              <w:t>Feature</w:t>
            </w:r>
          </w:p>
        </w:tc>
        <w:tc>
          <w:tcPr>
            <w:tcW w:type="dxa" w:w="4320"/>
            <w:shd w:fill="EAF4FB"/>
          </w:tcPr>
          <w:p>
            <w:pPr>
              <w:jc w:val="left"/>
            </w:pP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Deterministic construction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Repeatable repository generation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Independent verification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Validate repository integrity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Structured metadata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Preserve repository and product context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Observation sessions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Preserve execution provenance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Persistent products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Enable reuse without recomputation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Registry services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Support discoverability and consistency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Publication manifest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Preserve publication build provenance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