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Table07 Observational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AF4FB"/>
          </w:tcPr>
          <w:p>
            <w:pPr>
              <w:jc w:val="left"/>
            </w:pPr>
            <w:r>
              <w:rPr>
                <w:b/>
                <w:sz w:val="16"/>
              </w:rPr>
              <w:t>Metric</w:t>
            </w:r>
          </w:p>
        </w:tc>
        <w:tc>
          <w:tcPr>
            <w:tcW w:type="dxa" w:w="4320"/>
            <w:shd w:fill="EAF4FB"/>
          </w:tcPr>
          <w:p>
            <w:pPr>
              <w:jc w:val="left"/>
            </w:pPr>
            <w:r>
              <w:rPr>
                <w:b/>
                <w:sz w:val="16"/>
              </w:rPr>
              <w:t>Accepted Measurement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Scientific domain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1 – 3,000,000,000,000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Repository partitions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300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Total gaps analyzed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108,340,298,703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Twin-prime events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5,173,760,785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Global twin density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0.047754721437340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End-to-end runtime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50.122088 min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Runtime accounted for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99.995377703%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Conservative steady-state partitions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290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Steady-state gaps analyzed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104,222,243,890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Mean partition runtime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10.021978 sec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Median partition runtime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10.004263 sec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Runtime coefficient of variation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2.408966%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Runtime P95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10.346914 sec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Sustained throughput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35,859,890.441 gaps/sec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