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PrimeNet: An Observatory for Prime Information Structures</w:t>
      </w:r>
    </w:p>
    <w:p>
      <w:pPr>
        <w:jc w:val="center"/>
      </w:pPr>
      <w:r>
        <w:t>Jinhua Liao</w:t>
      </w:r>
    </w:p>
    <w:p/>
    <w:p>
      <w:pPr>
        <w:pStyle w:val="Heading1"/>
      </w:pPr>
      <w:r>
        <w:t>Abstract</w:t>
      </w:r>
    </w:p>
    <w:p>
      <w:r>
        <w:t>Large-scale computational investigations in number theory frequently require researchers to repeatedly construct computational repositories, implement supporting software, verify computational correctness, organize derived products, and manage increasingly complex computational workflows. While considerable attention has been devoted to algorithms and mathematical analysis, comparatively less attention has been given to the engineering infrastructure required to support persistent, reproducible, and extensible computational investigation.</w:t>
      </w:r>
    </w:p>
    <w:p>
      <w:r>
        <w:t>This paper presents PrimeNet, a reference architecture for persistent computational arithmetic. PrimeNet organizes deterministic repository construction, independent verification, canonical observational coordinates, modular observatories, observation sessions, computational products, atlases, metadata management, and registry services into a unified computational framework designed for long-term scientific investigation.</w:t>
      </w:r>
    </w:p>
    <w:p>
      <w:r>
        <w:t>The current reference implementation includes a persistent repository covering the interval 1 &lt;= n &lt;= 10^12, containing 37,607,912,018 verified prime numbers organized into 100 independently verified repository segments, with complete repository verification performed after deterministic construction. The architecture further supports reusable computational observatories that generate standardized observational products while preserving computational provenance and reproducibility.</w:t>
      </w:r>
    </w:p>
    <w:p>
      <w:r>
        <w:t>The primary contribution of this work is not a new algorithm for prime computation nor a new mathematical theory of prime numbers. Rather, it is the design, implementation, and validation of a persistent computational architecture that enables computational investigations to become reproducible, extensible, and reusable scientific resources. PrimeNet is presented as a reference architecture upon which future computational investigations in prime arithmetic may be systematically developed.</w:t>
      </w:r>
    </w:p>
    <w:p>
      <w:r>
        <w:t>Keywords: Computational arithmetic; prime numbers; scientific infrastructure; repository architecture; reproducible computing; computational observatory; research software engineering.</w:t>
      </w:r>
    </w:p>
    <w:p>
      <w:pPr>
        <w:pStyle w:val="Heading1"/>
      </w:pPr>
      <w:r>
        <w:t>PrimeNet Reference Implementation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Characteristic</w:t>
            </w:r>
          </w:p>
        </w:tc>
        <w:tc>
          <w:tcPr>
            <w:tcW w:type="dxa" w:w="4320"/>
          </w:tcPr>
          <w:p>
            <w:r>
              <w:rPr>
                <w:b/>
                <w:sz w:val="18"/>
              </w:rPr>
              <w:t>Reference Implementation</w:t>
            </w:r>
          </w:p>
        </w:tc>
      </w:tr>
      <w:tr>
        <w:tc>
          <w:tcPr>
            <w:tcW w:type="dxa" w:w="4320"/>
          </w:tcPr>
          <w:p>
            <w:r>
              <w:rPr>
                <w:sz w:val="18"/>
              </w:rPr>
              <w:t>Repository interval</w:t>
            </w:r>
          </w:p>
        </w:tc>
        <w:tc>
          <w:tcPr>
            <w:tcW w:type="dxa" w:w="4320"/>
          </w:tcPr>
          <w:p>
            <w:r>
              <w:rPr>
                <w:sz w:val="18"/>
              </w:rPr>
              <w:t>1 &lt;= n &lt;= 10^12</w:t>
            </w:r>
          </w:p>
        </w:tc>
      </w:tr>
      <w:tr>
        <w:tc>
          <w:tcPr>
            <w:tcW w:type="dxa" w:w="4320"/>
          </w:tcPr>
          <w:p>
            <w:r>
              <w:rPr>
                <w:sz w:val="18"/>
              </w:rPr>
              <w:t>Verified prime numbers</w:t>
            </w:r>
          </w:p>
        </w:tc>
        <w:tc>
          <w:tcPr>
            <w:tcW w:type="dxa" w:w="4320"/>
          </w:tcPr>
          <w:p>
            <w:r>
              <w:rPr>
                <w:sz w:val="18"/>
              </w:rPr>
              <w:t>37,607,912,018</w:t>
            </w:r>
          </w:p>
        </w:tc>
      </w:tr>
      <w:tr>
        <w:tc>
          <w:tcPr>
            <w:tcW w:type="dxa" w:w="4320"/>
          </w:tcPr>
          <w:p>
            <w:r>
              <w:rPr>
                <w:sz w:val="18"/>
              </w:rPr>
              <w:t>Largest stored prime</w:t>
            </w:r>
          </w:p>
        </w:tc>
        <w:tc>
          <w:tcPr>
            <w:tcW w:type="dxa" w:w="4320"/>
          </w:tcPr>
          <w:p>
            <w:r>
              <w:rPr>
                <w:sz w:val="18"/>
              </w:rPr>
              <w:t>999,999,999,989</w:t>
            </w:r>
          </w:p>
        </w:tc>
      </w:tr>
      <w:tr>
        <w:tc>
          <w:tcPr>
            <w:tcW w:type="dxa" w:w="4320"/>
          </w:tcPr>
          <w:p>
            <w:r>
              <w:rPr>
                <w:sz w:val="18"/>
              </w:rPr>
              <w:t>Repository segments</w:t>
            </w:r>
          </w:p>
        </w:tc>
        <w:tc>
          <w:tcPr>
            <w:tcW w:type="dxa" w:w="4320"/>
          </w:tcPr>
          <w:p>
            <w:r>
              <w:rPr>
                <w:sz w:val="18"/>
              </w:rPr>
              <w:t>100</w:t>
            </w:r>
          </w:p>
        </w:tc>
      </w:tr>
      <w:tr>
        <w:tc>
          <w:tcPr>
            <w:tcW w:type="dxa" w:w="4320"/>
          </w:tcPr>
          <w:p>
            <w:r>
              <w:rPr>
                <w:sz w:val="18"/>
              </w:rPr>
              <w:t>Segment size</w:t>
            </w:r>
          </w:p>
        </w:tc>
        <w:tc>
          <w:tcPr>
            <w:tcW w:type="dxa" w:w="4320"/>
          </w:tcPr>
          <w:p>
            <w:r>
              <w:rPr>
                <w:sz w:val="18"/>
              </w:rPr>
              <w:t>10^10 integers</w:t>
            </w:r>
          </w:p>
        </w:tc>
      </w:tr>
      <w:tr>
        <w:tc>
          <w:tcPr>
            <w:tcW w:type="dxa" w:w="4320"/>
          </w:tcPr>
          <w:p>
            <w:r>
              <w:rPr>
                <w:sz w:val="18"/>
              </w:rPr>
              <w:t>Repository verification</w:t>
            </w:r>
          </w:p>
        </w:tc>
        <w:tc>
          <w:tcPr>
            <w:tcW w:type="dxa" w:w="4320"/>
          </w:tcPr>
          <w:p>
            <w:r>
              <w:rPr>
                <w:sz w:val="18"/>
              </w:rPr>
              <w:t>100/100 passed</w:t>
            </w:r>
          </w:p>
        </w:tc>
      </w:tr>
      <w:tr>
        <w:tc>
          <w:tcPr>
            <w:tcW w:type="dxa" w:w="4320"/>
          </w:tcPr>
          <w:p>
            <w:r>
              <w:rPr>
                <w:sz w:val="18"/>
              </w:rPr>
              <w:t>Repository construction</w:t>
            </w:r>
          </w:p>
        </w:tc>
        <w:tc>
          <w:tcPr>
            <w:tcW w:type="dxa" w:w="4320"/>
          </w:tcPr>
          <w:p>
            <w:r>
              <w:rPr>
                <w:sz w:val="18"/>
              </w:rPr>
              <w:t>Deterministic</w:t>
            </w:r>
          </w:p>
        </w:tc>
      </w:tr>
      <w:tr>
        <w:tc>
          <w:tcPr>
            <w:tcW w:type="dxa" w:w="4320"/>
          </w:tcPr>
          <w:p>
            <w:r>
              <w:rPr>
                <w:sz w:val="18"/>
              </w:rPr>
              <w:t>Prime Space</w:t>
            </w:r>
          </w:p>
        </w:tc>
        <w:tc>
          <w:tcPr>
            <w:tcW w:type="dxa" w:w="4320"/>
          </w:tcPr>
          <w:p>
            <w:r>
              <w:rPr>
                <w:sz w:val="18"/>
              </w:rPr>
              <w:t>Implemented</w:t>
            </w:r>
          </w:p>
        </w:tc>
      </w:tr>
      <w:tr>
        <w:tc>
          <w:tcPr>
            <w:tcW w:type="dxa" w:w="4320"/>
          </w:tcPr>
          <w:p>
            <w:r>
              <w:rPr>
                <w:sz w:val="18"/>
              </w:rPr>
              <w:t>Observatory Framework</w:t>
            </w:r>
          </w:p>
        </w:tc>
        <w:tc>
          <w:tcPr>
            <w:tcW w:type="dxa" w:w="4320"/>
          </w:tcPr>
          <w:p>
            <w:r>
              <w:rPr>
                <w:sz w:val="18"/>
              </w:rPr>
              <w:t>Implemented</w:t>
            </w:r>
          </w:p>
        </w:tc>
      </w:tr>
      <w:tr>
        <w:tc>
          <w:tcPr>
            <w:tcW w:type="dxa" w:w="4320"/>
          </w:tcPr>
          <w:p>
            <w:r>
              <w:rPr>
                <w:sz w:val="18"/>
              </w:rPr>
              <w:t>Product Framework</w:t>
            </w:r>
          </w:p>
        </w:tc>
        <w:tc>
          <w:tcPr>
            <w:tcW w:type="dxa" w:w="4320"/>
          </w:tcPr>
          <w:p>
            <w:r>
              <w:rPr>
                <w:sz w:val="18"/>
              </w:rPr>
              <w:t>Implemented</w:t>
            </w:r>
          </w:p>
        </w:tc>
      </w:tr>
      <w:tr>
        <w:tc>
          <w:tcPr>
            <w:tcW w:type="dxa" w:w="4320"/>
          </w:tcPr>
          <w:p>
            <w:r>
              <w:rPr>
                <w:sz w:val="18"/>
              </w:rPr>
              <w:t>Registry Services</w:t>
            </w:r>
          </w:p>
        </w:tc>
        <w:tc>
          <w:tcPr>
            <w:tcW w:type="dxa" w:w="4320"/>
          </w:tcPr>
          <w:p>
            <w:r>
              <w:rPr>
                <w:sz w:val="18"/>
              </w:rPr>
              <w:t>Implemented</w:t>
            </w:r>
          </w:p>
        </w:tc>
      </w:tr>
    </w:tbl>
    <w:p>
      <w:r>
        <w:br w:type="page"/>
      </w:r>
    </w:p>
    <w:p>
      <w:pPr>
        <w:pStyle w:val="Heading1"/>
      </w:pPr>
      <w:r>
        <w:t>Canonical Figures</w:t>
      </w:r>
    </w:p>
    <w:p>
      <w:r>
        <w:drawing>
          <wp:inline xmlns:a="http://schemas.openxmlformats.org/drawingml/2006/main" xmlns:pic="http://schemas.openxmlformats.org/drawingml/2006/picture">
            <wp:extent cx="5669280" cy="3453143"/>
            <wp:docPr id="1" name="Picture 1"/>
            <wp:cNvGraphicFramePr>
              <a:graphicFrameLocks noChangeAspect="1"/>
            </wp:cNvGraphicFramePr>
            <a:graphic>
              <a:graphicData uri="http://schemas.openxmlformats.org/drawingml/2006/picture">
                <pic:pic>
                  <pic:nvPicPr>
                    <pic:cNvPr id="0" name="fig01_evolution.png"/>
                    <pic:cNvPicPr/>
                  </pic:nvPicPr>
                  <pic:blipFill>
                    <a:blip r:embed="rId9"/>
                    <a:stretch>
                      <a:fillRect/>
                    </a:stretch>
                  </pic:blipFill>
                  <pic:spPr>
                    <a:xfrm>
                      <a:off x="0" y="0"/>
                      <a:ext cx="5669280" cy="3453143"/>
                    </a:xfrm>
                    <a:prstGeom prst="rect"/>
                  </pic:spPr>
                </pic:pic>
              </a:graphicData>
            </a:graphic>
          </wp:inline>
        </w:drawing>
      </w:r>
    </w:p>
    <w:p>
      <w:pPr>
        <w:pStyle w:val="Caption"/>
      </w:pPr>
      <w:r>
        <w:t>Figure 1. Evolution of Computational Research. The figure summarizes the shift from questions of computational feasibility and performance toward questions of organization, verification, preservation, sharing, and reuse.</w:t>
      </w:r>
    </w:p>
    <w:p>
      <w:r>
        <w:drawing>
          <wp:inline xmlns:a="http://schemas.openxmlformats.org/drawingml/2006/main" xmlns:pic="http://schemas.openxmlformats.org/drawingml/2006/picture">
            <wp:extent cx="5669280" cy="3723110"/>
            <wp:docPr id="2" name="Picture 2"/>
            <wp:cNvGraphicFramePr>
              <a:graphicFrameLocks noChangeAspect="1"/>
            </wp:cNvGraphicFramePr>
            <a:graphic>
              <a:graphicData uri="http://schemas.openxmlformats.org/drawingml/2006/picture">
                <pic:pic>
                  <pic:nvPicPr>
                    <pic:cNvPr id="0" name="fig02_architecture.png"/>
                    <pic:cNvPicPr/>
                  </pic:nvPicPr>
                  <pic:blipFill>
                    <a:blip r:embed="rId10"/>
                    <a:stretch>
                      <a:fillRect/>
                    </a:stretch>
                  </pic:blipFill>
                  <pic:spPr>
                    <a:xfrm>
                      <a:off x="0" y="0"/>
                      <a:ext cx="5669280" cy="3723110"/>
                    </a:xfrm>
                    <a:prstGeom prst="rect"/>
                  </pic:spPr>
                </pic:pic>
              </a:graphicData>
            </a:graphic>
          </wp:inline>
        </w:drawing>
      </w:r>
    </w:p>
    <w:p>
      <w:pPr>
        <w:pStyle w:val="Caption"/>
      </w:pPr>
      <w:r>
        <w:t>Figure 2. Overall PrimeNet Architecture. PrimeNet organizes Prime Space, persistent repositories, observatories, metadata, observation sessions, products, and atlases into a unified computational architecture.</w:t>
      </w:r>
    </w:p>
    <w:p>
      <w:r>
        <w:drawing>
          <wp:inline xmlns:a="http://schemas.openxmlformats.org/drawingml/2006/main" xmlns:pic="http://schemas.openxmlformats.org/drawingml/2006/picture">
            <wp:extent cx="5669280" cy="3453143"/>
            <wp:docPr id="3" name="Picture 3"/>
            <wp:cNvGraphicFramePr>
              <a:graphicFrameLocks noChangeAspect="1"/>
            </wp:cNvGraphicFramePr>
            <a:graphic>
              <a:graphicData uri="http://schemas.openxmlformats.org/drawingml/2006/picture">
                <pic:pic>
                  <pic:nvPicPr>
                    <pic:cNvPr id="0" name="fig03_prime_space.png"/>
                    <pic:cNvPicPr/>
                  </pic:nvPicPr>
                  <pic:blipFill>
                    <a:blip r:embed="rId11"/>
                    <a:stretch>
                      <a:fillRect/>
                    </a:stretch>
                  </pic:blipFill>
                  <pic:spPr>
                    <a:xfrm>
                      <a:off x="0" y="0"/>
                      <a:ext cx="5669280" cy="3453143"/>
                    </a:xfrm>
                    <a:prstGeom prst="rect"/>
                  </pic:spPr>
                </pic:pic>
              </a:graphicData>
            </a:graphic>
          </wp:inline>
        </w:drawing>
      </w:r>
    </w:p>
    <w:p>
      <w:pPr>
        <w:pStyle w:val="Caption"/>
      </w:pPr>
      <w:r>
        <w:t>Figure 3. Prime Space Coordinate System. Prime Space represents each prime using both its numerical value and its prime index, providing canonical observational coordinates for computational products.</w:t>
      </w:r>
    </w:p>
    <w:p>
      <w:r>
        <w:drawing>
          <wp:inline xmlns:a="http://schemas.openxmlformats.org/drawingml/2006/main" xmlns:pic="http://schemas.openxmlformats.org/drawingml/2006/picture">
            <wp:extent cx="5669280" cy="4078948"/>
            <wp:docPr id="4" name="Picture 4"/>
            <wp:cNvGraphicFramePr>
              <a:graphicFrameLocks noChangeAspect="1"/>
            </wp:cNvGraphicFramePr>
            <a:graphic>
              <a:graphicData uri="http://schemas.openxmlformats.org/drawingml/2006/picture">
                <pic:pic>
                  <pic:nvPicPr>
                    <pic:cNvPr id="0" name="fig04_repository.png"/>
                    <pic:cNvPicPr/>
                  </pic:nvPicPr>
                  <pic:blipFill>
                    <a:blip r:embed="rId12"/>
                    <a:stretch>
                      <a:fillRect/>
                    </a:stretch>
                  </pic:blipFill>
                  <pic:spPr>
                    <a:xfrm>
                      <a:off x="0" y="0"/>
                      <a:ext cx="5669280" cy="4078948"/>
                    </a:xfrm>
                    <a:prstGeom prst="rect"/>
                  </pic:spPr>
                </pic:pic>
              </a:graphicData>
            </a:graphic>
          </wp:inline>
        </w:drawing>
      </w:r>
    </w:p>
    <w:p>
      <w:pPr>
        <w:pStyle w:val="Caption"/>
      </w:pPr>
      <w:r>
        <w:t>Figure 4. Layered Repository Architecture. The layered organization separates applications, observatories, repository services, metadata, and persistent computational assets.</w:t>
      </w:r>
    </w:p>
    <w:p>
      <w:r>
        <w:drawing>
          <wp:inline xmlns:a="http://schemas.openxmlformats.org/drawingml/2006/main" xmlns:pic="http://schemas.openxmlformats.org/drawingml/2006/picture">
            <wp:extent cx="5669280" cy="3453143"/>
            <wp:docPr id="5" name="Picture 5"/>
            <wp:cNvGraphicFramePr>
              <a:graphicFrameLocks noChangeAspect="1"/>
            </wp:cNvGraphicFramePr>
            <a:graphic>
              <a:graphicData uri="http://schemas.openxmlformats.org/drawingml/2006/picture">
                <pic:pic>
                  <pic:nvPicPr>
                    <pic:cNvPr id="0" name="fig05_construction.png"/>
                    <pic:cNvPicPr/>
                  </pic:nvPicPr>
                  <pic:blipFill>
                    <a:blip r:embed="rId13"/>
                    <a:stretch>
                      <a:fillRect/>
                    </a:stretch>
                  </pic:blipFill>
                  <pic:spPr>
                    <a:xfrm>
                      <a:off x="0" y="0"/>
                      <a:ext cx="5669280" cy="3453143"/>
                    </a:xfrm>
                    <a:prstGeom prst="rect"/>
                  </pic:spPr>
                </pic:pic>
              </a:graphicData>
            </a:graphic>
          </wp:inline>
        </w:drawing>
      </w:r>
    </w:p>
    <w:p>
      <w:pPr>
        <w:pStyle w:val="Caption"/>
      </w:pPr>
      <w:r>
        <w:t>Figure 5. Repository Construction Workflow. Deterministic segmented construction produces repository segments that are independently verified before becoming persistent repository assets.</w:t>
      </w:r>
    </w:p>
    <w:p>
      <w:r>
        <w:drawing>
          <wp:inline xmlns:a="http://schemas.openxmlformats.org/drawingml/2006/main" xmlns:pic="http://schemas.openxmlformats.org/drawingml/2006/picture">
            <wp:extent cx="5669280" cy="4234774"/>
            <wp:docPr id="6" name="Picture 6"/>
            <wp:cNvGraphicFramePr>
              <a:graphicFrameLocks noChangeAspect="1"/>
            </wp:cNvGraphicFramePr>
            <a:graphic>
              <a:graphicData uri="http://schemas.openxmlformats.org/drawingml/2006/picture">
                <pic:pic>
                  <pic:nvPicPr>
                    <pic:cNvPr id="0" name="fig06_observatory.png"/>
                    <pic:cNvPicPr/>
                  </pic:nvPicPr>
                  <pic:blipFill>
                    <a:blip r:embed="rId14"/>
                    <a:stretch>
                      <a:fillRect/>
                    </a:stretch>
                  </pic:blipFill>
                  <pic:spPr>
                    <a:xfrm>
                      <a:off x="0" y="0"/>
                      <a:ext cx="5669280" cy="4234774"/>
                    </a:xfrm>
                    <a:prstGeom prst="rect"/>
                  </pic:spPr>
                </pic:pic>
              </a:graphicData>
            </a:graphic>
          </wp:inline>
        </w:drawing>
      </w:r>
    </w:p>
    <w:p>
      <w:pPr>
        <w:pStyle w:val="Caption"/>
      </w:pPr>
      <w:r>
        <w:t>Figure 6. PrimeNet Observatory Framework. Observatories operate on the persistent repository, record observation sessions, generate computational products, and organize related products into atlases.</w:t>
      </w:r>
    </w:p>
    <w:p>
      <w:r>
        <w:drawing>
          <wp:inline xmlns:a="http://schemas.openxmlformats.org/drawingml/2006/main" xmlns:pic="http://schemas.openxmlformats.org/drawingml/2006/picture">
            <wp:extent cx="5669280" cy="3586112"/>
            <wp:docPr id="7" name="Picture 7"/>
            <wp:cNvGraphicFramePr>
              <a:graphicFrameLocks noChangeAspect="1"/>
            </wp:cNvGraphicFramePr>
            <a:graphic>
              <a:graphicData uri="http://schemas.openxmlformats.org/drawingml/2006/picture">
                <pic:pic>
                  <pic:nvPicPr>
                    <pic:cNvPr id="0" name="fig07_software.png"/>
                    <pic:cNvPicPr/>
                  </pic:nvPicPr>
                  <pic:blipFill>
                    <a:blip r:embed="rId15"/>
                    <a:stretch>
                      <a:fillRect/>
                    </a:stretch>
                  </pic:blipFill>
                  <pic:spPr>
                    <a:xfrm>
                      <a:off x="0" y="0"/>
                      <a:ext cx="5669280" cy="3586112"/>
                    </a:xfrm>
                    <a:prstGeom prst="rect"/>
                  </pic:spPr>
                </pic:pic>
              </a:graphicData>
            </a:graphic>
          </wp:inline>
        </w:drawing>
      </w:r>
    </w:p>
    <w:p>
      <w:pPr>
        <w:pStyle w:val="Caption"/>
      </w:pPr>
      <w:r>
        <w:t>Figure 7. PrimeNet Software Architecture. The implementation separates observatory execution, repository services, metadata services, product services, and persistent repository resources.</w:t>
      </w:r>
    </w:p>
    <w:p>
      <w:r>
        <w:drawing>
          <wp:inline xmlns:a="http://schemas.openxmlformats.org/drawingml/2006/main" xmlns:pic="http://schemas.openxmlformats.org/drawingml/2006/picture">
            <wp:extent cx="5669280" cy="3723110"/>
            <wp:docPr id="8" name="Picture 8"/>
            <wp:cNvGraphicFramePr>
              <a:graphicFrameLocks noChangeAspect="1"/>
            </wp:cNvGraphicFramePr>
            <a:graphic>
              <a:graphicData uri="http://schemas.openxmlformats.org/drawingml/2006/picture">
                <pic:pic>
                  <pic:nvPicPr>
                    <pic:cNvPr id="0" name="fig08_validation.png"/>
                    <pic:cNvPicPr/>
                  </pic:nvPicPr>
                  <pic:blipFill>
                    <a:blip r:embed="rId16"/>
                    <a:stretch>
                      <a:fillRect/>
                    </a:stretch>
                  </pic:blipFill>
                  <pic:spPr>
                    <a:xfrm>
                      <a:off x="0" y="0"/>
                      <a:ext cx="5669280" cy="3723110"/>
                    </a:xfrm>
                    <a:prstGeom prst="rect"/>
                  </pic:spPr>
                </pic:pic>
              </a:graphicData>
            </a:graphic>
          </wp:inline>
        </w:drawing>
      </w:r>
    </w:p>
    <w:p>
      <w:pPr>
        <w:pStyle w:val="Caption"/>
      </w:pPr>
      <w:r>
        <w:t>Figure 8. Architectural Validation Evidence. Repository scale, segment count, verified prime count, verification status, and largest stored prime provide evidence that the architecture has been realized at trillion scale.</w:t>
      </w:r>
    </w:p>
    <w:p>
      <w:r>
        <w:drawing>
          <wp:inline xmlns:a="http://schemas.openxmlformats.org/drawingml/2006/main" xmlns:pic="http://schemas.openxmlformats.org/drawingml/2006/picture">
            <wp:extent cx="5669280" cy="3453143"/>
            <wp:docPr id="9" name="Picture 9"/>
            <wp:cNvGraphicFramePr>
              <a:graphicFrameLocks noChangeAspect="1"/>
            </wp:cNvGraphicFramePr>
            <a:graphic>
              <a:graphicData uri="http://schemas.openxmlformats.org/drawingml/2006/picture">
                <pic:pic>
                  <pic:nvPicPr>
                    <pic:cNvPr id="0" name="fig09_growth.png"/>
                    <pic:cNvPicPr/>
                  </pic:nvPicPr>
                  <pic:blipFill>
                    <a:blip r:embed="rId17"/>
                    <a:stretch>
                      <a:fillRect/>
                    </a:stretch>
                  </pic:blipFill>
                  <pic:spPr>
                    <a:xfrm>
                      <a:off x="0" y="0"/>
                      <a:ext cx="5669280" cy="3453143"/>
                    </a:xfrm>
                    <a:prstGeom prst="rect"/>
                  </pic:spPr>
                </pic:pic>
              </a:graphicData>
            </a:graphic>
          </wp:inline>
        </w:drawing>
      </w:r>
    </w:p>
    <w:p>
      <w:pPr>
        <w:pStyle w:val="Caption"/>
      </w:pPr>
      <w:r>
        <w:t>Figure 9. Incremental Repository Growth. Repository segments may be appended incrementally without reconstructing previously verified computational assets.</w:t>
      </w:r>
    </w:p>
    <w:p>
      <w:r>
        <w:drawing>
          <wp:inline xmlns:a="http://schemas.openxmlformats.org/drawingml/2006/main" xmlns:pic="http://schemas.openxmlformats.org/drawingml/2006/picture">
            <wp:extent cx="5669280" cy="3723110"/>
            <wp:docPr id="10" name="Picture 10"/>
            <wp:cNvGraphicFramePr>
              <a:graphicFrameLocks noChangeAspect="1"/>
            </wp:cNvGraphicFramePr>
            <a:graphic>
              <a:graphicData uri="http://schemas.openxmlformats.org/drawingml/2006/picture">
                <pic:pic>
                  <pic:nvPicPr>
                    <pic:cNvPr id="0" name="fig10_ecosystem.png"/>
                    <pic:cNvPicPr/>
                  </pic:nvPicPr>
                  <pic:blipFill>
                    <a:blip r:embed="rId18"/>
                    <a:stretch>
                      <a:fillRect/>
                    </a:stretch>
                  </pic:blipFill>
                  <pic:spPr>
                    <a:xfrm>
                      <a:off x="0" y="0"/>
                      <a:ext cx="5669280" cy="3723110"/>
                    </a:xfrm>
                    <a:prstGeom prst="rect"/>
                  </pic:spPr>
                </pic:pic>
              </a:graphicData>
            </a:graphic>
          </wp:inline>
        </w:drawing>
      </w:r>
    </w:p>
    <w:p>
      <w:pPr>
        <w:pStyle w:val="Caption"/>
      </w:pPr>
      <w:r>
        <w:t>Figure 10. PrimeNet Scientific Ecosystem. Repositories, observatories, products, and atlases form reusable infrastructure supporting future computational investigations.</w:t>
      </w:r>
    </w:p>
    <w:p>
      <w:r>
        <w:br w:type="page"/>
      </w:r>
    </w:p>
    <w:p>
      <w:pPr>
        <w:pStyle w:val="Heading1"/>
      </w:pPr>
      <w:r>
        <w:t>Canonical Tables</w:t>
      </w:r>
    </w:p>
    <w:p>
      <w:r>
        <w:t>Table 1. PrimeNet Reference Implementation.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Characteristic</w:t>
            </w:r>
          </w:p>
        </w:tc>
        <w:tc>
          <w:tcPr>
            <w:tcW w:type="dxa" w:w="4320"/>
          </w:tcPr>
          <w:p>
            <w:r>
              <w:rPr>
                <w:b/>
                <w:sz w:val="18"/>
              </w:rPr>
              <w:t>Reference Implementation</w:t>
            </w:r>
          </w:p>
        </w:tc>
      </w:tr>
      <w:tr>
        <w:tc>
          <w:tcPr>
            <w:tcW w:type="dxa" w:w="4320"/>
          </w:tcPr>
          <w:p>
            <w:r>
              <w:rPr>
                <w:sz w:val="18"/>
              </w:rPr>
              <w:t>Repository interval</w:t>
            </w:r>
          </w:p>
        </w:tc>
        <w:tc>
          <w:tcPr>
            <w:tcW w:type="dxa" w:w="4320"/>
          </w:tcPr>
          <w:p>
            <w:r>
              <w:rPr>
                <w:sz w:val="18"/>
              </w:rPr>
              <w:t>1 &lt;= n &lt;= 10^12</w:t>
            </w:r>
          </w:p>
        </w:tc>
      </w:tr>
      <w:tr>
        <w:tc>
          <w:tcPr>
            <w:tcW w:type="dxa" w:w="4320"/>
          </w:tcPr>
          <w:p>
            <w:r>
              <w:rPr>
                <w:sz w:val="18"/>
              </w:rPr>
              <w:t>Verified prime numbers</w:t>
            </w:r>
          </w:p>
        </w:tc>
        <w:tc>
          <w:tcPr>
            <w:tcW w:type="dxa" w:w="4320"/>
          </w:tcPr>
          <w:p>
            <w:r>
              <w:rPr>
                <w:sz w:val="18"/>
              </w:rPr>
              <w:t>37,607,912,018</w:t>
            </w:r>
          </w:p>
        </w:tc>
      </w:tr>
      <w:tr>
        <w:tc>
          <w:tcPr>
            <w:tcW w:type="dxa" w:w="4320"/>
          </w:tcPr>
          <w:p>
            <w:r>
              <w:rPr>
                <w:sz w:val="18"/>
              </w:rPr>
              <w:t>Largest stored prime</w:t>
            </w:r>
          </w:p>
        </w:tc>
        <w:tc>
          <w:tcPr>
            <w:tcW w:type="dxa" w:w="4320"/>
          </w:tcPr>
          <w:p>
            <w:r>
              <w:rPr>
                <w:sz w:val="18"/>
              </w:rPr>
              <w:t>999,999,999,989</w:t>
            </w:r>
          </w:p>
        </w:tc>
      </w:tr>
      <w:tr>
        <w:tc>
          <w:tcPr>
            <w:tcW w:type="dxa" w:w="4320"/>
          </w:tcPr>
          <w:p>
            <w:r>
              <w:rPr>
                <w:sz w:val="18"/>
              </w:rPr>
              <w:t>Repository segments</w:t>
            </w:r>
          </w:p>
        </w:tc>
        <w:tc>
          <w:tcPr>
            <w:tcW w:type="dxa" w:w="4320"/>
          </w:tcPr>
          <w:p>
            <w:r>
              <w:rPr>
                <w:sz w:val="18"/>
              </w:rPr>
              <w:t>100</w:t>
            </w:r>
          </w:p>
        </w:tc>
      </w:tr>
      <w:tr>
        <w:tc>
          <w:tcPr>
            <w:tcW w:type="dxa" w:w="4320"/>
          </w:tcPr>
          <w:p>
            <w:r>
              <w:rPr>
                <w:sz w:val="18"/>
              </w:rPr>
              <w:t>Segment size</w:t>
            </w:r>
          </w:p>
        </w:tc>
        <w:tc>
          <w:tcPr>
            <w:tcW w:type="dxa" w:w="4320"/>
          </w:tcPr>
          <w:p>
            <w:r>
              <w:rPr>
                <w:sz w:val="18"/>
              </w:rPr>
              <w:t>10^10 integers</w:t>
            </w:r>
          </w:p>
        </w:tc>
      </w:tr>
      <w:tr>
        <w:tc>
          <w:tcPr>
            <w:tcW w:type="dxa" w:w="4320"/>
          </w:tcPr>
          <w:p>
            <w:r>
              <w:rPr>
                <w:sz w:val="18"/>
              </w:rPr>
              <w:t>Repository verification</w:t>
            </w:r>
          </w:p>
        </w:tc>
        <w:tc>
          <w:tcPr>
            <w:tcW w:type="dxa" w:w="4320"/>
          </w:tcPr>
          <w:p>
            <w:r>
              <w:rPr>
                <w:sz w:val="18"/>
              </w:rPr>
              <w:t>100/100 passed</w:t>
            </w:r>
          </w:p>
        </w:tc>
      </w:tr>
      <w:tr>
        <w:tc>
          <w:tcPr>
            <w:tcW w:type="dxa" w:w="4320"/>
          </w:tcPr>
          <w:p>
            <w:r>
              <w:rPr>
                <w:sz w:val="18"/>
              </w:rPr>
              <w:t>Repository construction</w:t>
            </w:r>
          </w:p>
        </w:tc>
        <w:tc>
          <w:tcPr>
            <w:tcW w:type="dxa" w:w="4320"/>
          </w:tcPr>
          <w:p>
            <w:r>
              <w:rPr>
                <w:sz w:val="18"/>
              </w:rPr>
              <w:t>Deterministic</w:t>
            </w:r>
          </w:p>
        </w:tc>
      </w:tr>
      <w:tr>
        <w:tc>
          <w:tcPr>
            <w:tcW w:type="dxa" w:w="4320"/>
          </w:tcPr>
          <w:p>
            <w:r>
              <w:rPr>
                <w:sz w:val="18"/>
              </w:rPr>
              <w:t>Prime Space</w:t>
            </w:r>
          </w:p>
        </w:tc>
        <w:tc>
          <w:tcPr>
            <w:tcW w:type="dxa" w:w="4320"/>
          </w:tcPr>
          <w:p>
            <w:r>
              <w:rPr>
                <w:sz w:val="18"/>
              </w:rPr>
              <w:t>Implemented</w:t>
            </w:r>
          </w:p>
        </w:tc>
      </w:tr>
      <w:tr>
        <w:tc>
          <w:tcPr>
            <w:tcW w:type="dxa" w:w="4320"/>
          </w:tcPr>
          <w:p>
            <w:r>
              <w:rPr>
                <w:sz w:val="18"/>
              </w:rPr>
              <w:t>Observatory Framework</w:t>
            </w:r>
          </w:p>
        </w:tc>
        <w:tc>
          <w:tcPr>
            <w:tcW w:type="dxa" w:w="4320"/>
          </w:tcPr>
          <w:p>
            <w:r>
              <w:rPr>
                <w:sz w:val="18"/>
              </w:rPr>
              <w:t>Implemented</w:t>
            </w:r>
          </w:p>
        </w:tc>
      </w:tr>
      <w:tr>
        <w:tc>
          <w:tcPr>
            <w:tcW w:type="dxa" w:w="4320"/>
          </w:tcPr>
          <w:p>
            <w:r>
              <w:rPr>
                <w:sz w:val="18"/>
              </w:rPr>
              <w:t>Product Framework</w:t>
            </w:r>
          </w:p>
        </w:tc>
        <w:tc>
          <w:tcPr>
            <w:tcW w:type="dxa" w:w="4320"/>
          </w:tcPr>
          <w:p>
            <w:r>
              <w:rPr>
                <w:sz w:val="18"/>
              </w:rPr>
              <w:t>Implemented</w:t>
            </w:r>
          </w:p>
        </w:tc>
      </w:tr>
      <w:tr>
        <w:tc>
          <w:tcPr>
            <w:tcW w:type="dxa" w:w="4320"/>
          </w:tcPr>
          <w:p>
            <w:r>
              <w:rPr>
                <w:sz w:val="18"/>
              </w:rPr>
              <w:t>Registry Services</w:t>
            </w:r>
          </w:p>
        </w:tc>
        <w:tc>
          <w:tcPr>
            <w:tcW w:type="dxa" w:w="4320"/>
          </w:tcPr>
          <w:p>
            <w:r>
              <w:rPr>
                <w:sz w:val="18"/>
              </w:rPr>
              <w:t>Implemented</w:t>
            </w:r>
          </w:p>
        </w:tc>
      </w:tr>
    </w:tbl>
    <w:p/>
    <w:p>
      <w:r>
        <w:t>Table 2. Design Principles and Architectural Realization.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Design Principle</w:t>
            </w:r>
          </w:p>
        </w:tc>
        <w:tc>
          <w:tcPr>
            <w:tcW w:type="dxa" w:w="4320"/>
          </w:tcPr>
          <w:p>
            <w:r>
              <w:rPr>
                <w:b/>
                <w:sz w:val="18"/>
              </w:rPr>
              <w:t>Architectural Realization</w:t>
            </w:r>
          </w:p>
        </w:tc>
      </w:tr>
      <w:tr>
        <w:tc>
          <w:tcPr>
            <w:tcW w:type="dxa" w:w="4320"/>
          </w:tcPr>
          <w:p>
            <w:r>
              <w:rPr>
                <w:sz w:val="18"/>
              </w:rPr>
              <w:t>Observation before explanation</w:t>
            </w:r>
          </w:p>
        </w:tc>
        <w:tc>
          <w:tcPr>
            <w:tcW w:type="dxa" w:w="4320"/>
          </w:tcPr>
          <w:p>
            <w:r>
              <w:rPr>
                <w:sz w:val="18"/>
              </w:rPr>
              <w:t>Repository + Observatory Framework</w:t>
            </w:r>
          </w:p>
        </w:tc>
      </w:tr>
      <w:tr>
        <w:tc>
          <w:tcPr>
            <w:tcW w:type="dxa" w:w="4320"/>
          </w:tcPr>
          <w:p>
            <w:r>
              <w:rPr>
                <w:sz w:val="18"/>
              </w:rPr>
              <w:t>Persistent repository architecture</w:t>
            </w:r>
          </w:p>
        </w:tc>
        <w:tc>
          <w:tcPr>
            <w:tcW w:type="dxa" w:w="4320"/>
          </w:tcPr>
          <w:p>
            <w:r>
              <w:rPr>
                <w:sz w:val="18"/>
              </w:rPr>
              <w:t>Verified persistent repository segments</w:t>
            </w:r>
          </w:p>
        </w:tc>
      </w:tr>
      <w:tr>
        <w:tc>
          <w:tcPr>
            <w:tcW w:type="dxa" w:w="4320"/>
          </w:tcPr>
          <w:p>
            <w:r>
              <w:rPr>
                <w:sz w:val="18"/>
              </w:rPr>
              <w:t>Reproducibility by design</w:t>
            </w:r>
          </w:p>
        </w:tc>
        <w:tc>
          <w:tcPr>
            <w:tcW w:type="dxa" w:w="4320"/>
          </w:tcPr>
          <w:p>
            <w:r>
              <w:rPr>
                <w:sz w:val="18"/>
              </w:rPr>
              <w:t>Deterministic construction + independent verification</w:t>
            </w:r>
          </w:p>
        </w:tc>
      </w:tr>
      <w:tr>
        <w:tc>
          <w:tcPr>
            <w:tcW w:type="dxa" w:w="4320"/>
          </w:tcPr>
          <w:p>
            <w:r>
              <w:rPr>
                <w:sz w:val="18"/>
              </w:rPr>
              <w:t>Canonical coordinate system</w:t>
            </w:r>
          </w:p>
        </w:tc>
        <w:tc>
          <w:tcPr>
            <w:tcW w:type="dxa" w:w="4320"/>
          </w:tcPr>
          <w:p>
            <w:r>
              <w:rPr>
                <w:sz w:val="18"/>
              </w:rPr>
              <w:t>Prime Space and prime index</w:t>
            </w:r>
          </w:p>
        </w:tc>
      </w:tr>
      <w:tr>
        <w:tc>
          <w:tcPr>
            <w:tcW w:type="dxa" w:w="4320"/>
          </w:tcPr>
          <w:p>
            <w:r>
              <w:rPr>
                <w:sz w:val="18"/>
              </w:rPr>
              <w:t>Separation of responsibilities</w:t>
            </w:r>
          </w:p>
        </w:tc>
        <w:tc>
          <w:tcPr>
            <w:tcW w:type="dxa" w:w="4320"/>
          </w:tcPr>
          <w:p>
            <w:r>
              <w:rPr>
                <w:sz w:val="18"/>
              </w:rPr>
              <w:t>Repository / Observatory / Product / Registry layers</w:t>
            </w:r>
          </w:p>
        </w:tc>
      </w:tr>
      <w:tr>
        <w:tc>
          <w:tcPr>
            <w:tcW w:type="dxa" w:w="4320"/>
          </w:tcPr>
          <w:p>
            <w:r>
              <w:rPr>
                <w:sz w:val="18"/>
              </w:rPr>
              <w:t>Extensibility through modular architecture</w:t>
            </w:r>
          </w:p>
        </w:tc>
        <w:tc>
          <w:tcPr>
            <w:tcW w:type="dxa" w:w="4320"/>
          </w:tcPr>
          <w:p>
            <w:r>
              <w:rPr>
                <w:sz w:val="18"/>
              </w:rPr>
              <w:t>New observatories and products can be added incrementally</w:t>
            </w:r>
          </w:p>
        </w:tc>
      </w:tr>
    </w:tbl>
    <w:p/>
    <w:p>
      <w:r>
        <w:t>Table 3. PrimeNet Architectural Components.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Component</w:t>
            </w:r>
          </w:p>
        </w:tc>
        <w:tc>
          <w:tcPr>
            <w:tcW w:type="dxa" w:w="4320"/>
          </w:tcPr>
          <w:p>
            <w:r>
              <w:rPr>
                <w:b/>
                <w:sz w:val="18"/>
              </w:rPr>
              <w:t>Primary Responsibility</w:t>
            </w:r>
          </w:p>
        </w:tc>
      </w:tr>
      <w:tr>
        <w:tc>
          <w:tcPr>
            <w:tcW w:type="dxa" w:w="4320"/>
          </w:tcPr>
          <w:p>
            <w:r>
              <w:rPr>
                <w:sz w:val="18"/>
              </w:rPr>
              <w:t>Prime Space</w:t>
            </w:r>
          </w:p>
        </w:tc>
        <w:tc>
          <w:tcPr>
            <w:tcW w:type="dxa" w:w="4320"/>
          </w:tcPr>
          <w:p>
            <w:r>
              <w:rPr>
                <w:sz w:val="18"/>
              </w:rPr>
              <w:t>Canonical observational coordinate framework</w:t>
            </w:r>
          </w:p>
        </w:tc>
      </w:tr>
      <w:tr>
        <w:tc>
          <w:tcPr>
            <w:tcW w:type="dxa" w:w="4320"/>
          </w:tcPr>
          <w:p>
            <w:r>
              <w:rPr>
                <w:sz w:val="18"/>
              </w:rPr>
              <w:t>Repository</w:t>
            </w:r>
          </w:p>
        </w:tc>
        <w:tc>
          <w:tcPr>
            <w:tcW w:type="dxa" w:w="4320"/>
          </w:tcPr>
          <w:p>
            <w:r>
              <w:rPr>
                <w:sz w:val="18"/>
              </w:rPr>
              <w:t>Persistent computational assets</w:t>
            </w:r>
          </w:p>
        </w:tc>
      </w:tr>
      <w:tr>
        <w:tc>
          <w:tcPr>
            <w:tcW w:type="dxa" w:w="4320"/>
          </w:tcPr>
          <w:p>
            <w:r>
              <w:rPr>
                <w:sz w:val="18"/>
              </w:rPr>
              <w:t>Observatory</w:t>
            </w:r>
          </w:p>
        </w:tc>
        <w:tc>
          <w:tcPr>
            <w:tcW w:type="dxa" w:w="4320"/>
          </w:tcPr>
          <w:p>
            <w:r>
              <w:rPr>
                <w:sz w:val="18"/>
              </w:rPr>
              <w:t>Reusable computational investigation</w:t>
            </w:r>
          </w:p>
        </w:tc>
      </w:tr>
      <w:tr>
        <w:tc>
          <w:tcPr>
            <w:tcW w:type="dxa" w:w="4320"/>
          </w:tcPr>
          <w:p>
            <w:r>
              <w:rPr>
                <w:sz w:val="18"/>
              </w:rPr>
              <w:t>Observation Session</w:t>
            </w:r>
          </w:p>
        </w:tc>
        <w:tc>
          <w:tcPr>
            <w:tcW w:type="dxa" w:w="4320"/>
          </w:tcPr>
          <w:p>
            <w:r>
              <w:rPr>
                <w:sz w:val="18"/>
              </w:rPr>
              <w:t>Provenance and execution context</w:t>
            </w:r>
          </w:p>
        </w:tc>
      </w:tr>
      <w:tr>
        <w:tc>
          <w:tcPr>
            <w:tcW w:type="dxa" w:w="4320"/>
          </w:tcPr>
          <w:p>
            <w:r>
              <w:rPr>
                <w:sz w:val="18"/>
              </w:rPr>
              <w:t>Product</w:t>
            </w:r>
          </w:p>
        </w:tc>
        <w:tc>
          <w:tcPr>
            <w:tcW w:type="dxa" w:w="4320"/>
          </w:tcPr>
          <w:p>
            <w:r>
              <w:rPr>
                <w:sz w:val="18"/>
              </w:rPr>
              <w:t>Persistent observational output</w:t>
            </w:r>
          </w:p>
        </w:tc>
      </w:tr>
      <w:tr>
        <w:tc>
          <w:tcPr>
            <w:tcW w:type="dxa" w:w="4320"/>
          </w:tcPr>
          <w:p>
            <w:r>
              <w:rPr>
                <w:sz w:val="18"/>
              </w:rPr>
              <w:t>Atlas</w:t>
            </w:r>
          </w:p>
        </w:tc>
        <w:tc>
          <w:tcPr>
            <w:tcW w:type="dxa" w:w="4320"/>
          </w:tcPr>
          <w:p>
            <w:r>
              <w:rPr>
                <w:sz w:val="18"/>
              </w:rPr>
              <w:t>Curated collection of related products</w:t>
            </w:r>
          </w:p>
        </w:tc>
      </w:tr>
      <w:tr>
        <w:tc>
          <w:tcPr>
            <w:tcW w:type="dxa" w:w="4320"/>
          </w:tcPr>
          <w:p>
            <w:r>
              <w:rPr>
                <w:sz w:val="18"/>
              </w:rPr>
              <w:t>Registry</w:t>
            </w:r>
          </w:p>
        </w:tc>
        <w:tc>
          <w:tcPr>
            <w:tcW w:type="dxa" w:w="4320"/>
          </w:tcPr>
          <w:p>
            <w:r>
              <w:rPr>
                <w:sz w:val="18"/>
              </w:rPr>
              <w:t>Discovery and lifecycle management</w:t>
            </w:r>
          </w:p>
        </w:tc>
      </w:tr>
    </w:tbl>
    <w:p/>
    <w:p>
      <w:r>
        <w:t>Table 4. Repository Statistics as Architectural Evidence.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Repository interval</w:t>
            </w:r>
          </w:p>
        </w:tc>
        <w:tc>
          <w:tcPr>
            <w:tcW w:type="dxa" w:w="4320"/>
          </w:tcPr>
          <w:p>
            <w:r>
              <w:rPr>
                <w:sz w:val="18"/>
              </w:rPr>
              <w:t>1 &lt;= n &lt;= 10^12</w:t>
            </w:r>
          </w:p>
        </w:tc>
      </w:tr>
      <w:tr>
        <w:tc>
          <w:tcPr>
            <w:tcW w:type="dxa" w:w="4320"/>
          </w:tcPr>
          <w:p>
            <w:r>
              <w:rPr>
                <w:sz w:val="18"/>
              </w:rPr>
              <w:t>Verified primes</w:t>
            </w:r>
          </w:p>
        </w:tc>
        <w:tc>
          <w:tcPr>
            <w:tcW w:type="dxa" w:w="4320"/>
          </w:tcPr>
          <w:p>
            <w:r>
              <w:rPr>
                <w:sz w:val="18"/>
              </w:rPr>
              <w:t>37,607,912,018</w:t>
            </w:r>
          </w:p>
        </w:tc>
      </w:tr>
      <w:tr>
        <w:tc>
          <w:tcPr>
            <w:tcW w:type="dxa" w:w="4320"/>
          </w:tcPr>
          <w:p>
            <w:r>
              <w:rPr>
                <w:sz w:val="18"/>
              </w:rPr>
              <w:t>Largest stored prime</w:t>
            </w:r>
          </w:p>
        </w:tc>
        <w:tc>
          <w:tcPr>
            <w:tcW w:type="dxa" w:w="4320"/>
          </w:tcPr>
          <w:p>
            <w:r>
              <w:rPr>
                <w:sz w:val="18"/>
              </w:rPr>
              <w:t>999,999,999,989</w:t>
            </w:r>
          </w:p>
        </w:tc>
      </w:tr>
      <w:tr>
        <w:tc>
          <w:tcPr>
            <w:tcW w:type="dxa" w:w="4320"/>
          </w:tcPr>
          <w:p>
            <w:r>
              <w:rPr>
                <w:sz w:val="18"/>
              </w:rPr>
              <w:t>Repository segments</w:t>
            </w:r>
          </w:p>
        </w:tc>
        <w:tc>
          <w:tcPr>
            <w:tcW w:type="dxa" w:w="4320"/>
          </w:tcPr>
          <w:p>
            <w:r>
              <w:rPr>
                <w:sz w:val="18"/>
              </w:rPr>
              <w:t>100</w:t>
            </w:r>
          </w:p>
        </w:tc>
      </w:tr>
      <w:tr>
        <w:tc>
          <w:tcPr>
            <w:tcW w:type="dxa" w:w="4320"/>
          </w:tcPr>
          <w:p>
            <w:r>
              <w:rPr>
                <w:sz w:val="18"/>
              </w:rPr>
              <w:t>Segment size</w:t>
            </w:r>
          </w:p>
        </w:tc>
        <w:tc>
          <w:tcPr>
            <w:tcW w:type="dxa" w:w="4320"/>
          </w:tcPr>
          <w:p>
            <w:r>
              <w:rPr>
                <w:sz w:val="18"/>
              </w:rPr>
              <w:t>10^10 integers</w:t>
            </w:r>
          </w:p>
        </w:tc>
      </w:tr>
      <w:tr>
        <w:tc>
          <w:tcPr>
            <w:tcW w:type="dxa" w:w="4320"/>
          </w:tcPr>
          <w:p>
            <w:r>
              <w:rPr>
                <w:sz w:val="18"/>
              </w:rPr>
              <w:t>Verification result</w:t>
            </w:r>
          </w:p>
        </w:tc>
        <w:tc>
          <w:tcPr>
            <w:tcW w:type="dxa" w:w="4320"/>
          </w:tcPr>
          <w:p>
            <w:r>
              <w:rPr>
                <w:sz w:val="18"/>
              </w:rPr>
              <w:t>100/100 passed</w:t>
            </w:r>
          </w:p>
        </w:tc>
      </w:tr>
    </w:tbl>
    <w:p/>
    <w:p>
      <w:r>
        <w:t>Table 5. Software Architecture Subsystems.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Subsystem</w:t>
            </w:r>
          </w:p>
        </w:tc>
        <w:tc>
          <w:tcPr>
            <w:tcW w:type="dxa" w:w="4320"/>
          </w:tcPr>
          <w:p>
            <w:r>
              <w:rPr>
                <w:b/>
                <w:sz w:val="18"/>
              </w:rPr>
              <w:t>Responsibility</w:t>
            </w:r>
          </w:p>
        </w:tc>
      </w:tr>
      <w:tr>
        <w:tc>
          <w:tcPr>
            <w:tcW w:type="dxa" w:w="4320"/>
          </w:tcPr>
          <w:p>
            <w:r>
              <w:rPr>
                <w:sz w:val="18"/>
              </w:rPr>
              <w:t>Repository construction services</w:t>
            </w:r>
          </w:p>
        </w:tc>
        <w:tc>
          <w:tcPr>
            <w:tcW w:type="dxa" w:w="4320"/>
          </w:tcPr>
          <w:p>
            <w:r>
              <w:rPr>
                <w:sz w:val="18"/>
              </w:rPr>
              <w:t>Deterministic generation of repository segments</w:t>
            </w:r>
          </w:p>
        </w:tc>
      </w:tr>
      <w:tr>
        <w:tc>
          <w:tcPr>
            <w:tcW w:type="dxa" w:w="4320"/>
          </w:tcPr>
          <w:p>
            <w:r>
              <w:rPr>
                <w:sz w:val="18"/>
              </w:rPr>
              <w:t>Repository management services</w:t>
            </w:r>
          </w:p>
        </w:tc>
        <w:tc>
          <w:tcPr>
            <w:tcW w:type="dxa" w:w="4320"/>
          </w:tcPr>
          <w:p>
            <w:r>
              <w:rPr>
                <w:sz w:val="18"/>
              </w:rPr>
              <w:t>Inventory, catalogs, and lifecycle management</w:t>
            </w:r>
          </w:p>
        </w:tc>
      </w:tr>
      <w:tr>
        <w:tc>
          <w:tcPr>
            <w:tcW w:type="dxa" w:w="4320"/>
          </w:tcPr>
          <w:p>
            <w:r>
              <w:rPr>
                <w:sz w:val="18"/>
              </w:rPr>
              <w:t>Verification services</w:t>
            </w:r>
          </w:p>
        </w:tc>
        <w:tc>
          <w:tcPr>
            <w:tcW w:type="dxa" w:w="4320"/>
          </w:tcPr>
          <w:p>
            <w:r>
              <w:rPr>
                <w:sz w:val="18"/>
              </w:rPr>
              <w:t>Independent repository validation</w:t>
            </w:r>
          </w:p>
        </w:tc>
      </w:tr>
      <w:tr>
        <w:tc>
          <w:tcPr>
            <w:tcW w:type="dxa" w:w="4320"/>
          </w:tcPr>
          <w:p>
            <w:r>
              <w:rPr>
                <w:sz w:val="18"/>
              </w:rPr>
              <w:t>Metadata services</w:t>
            </w:r>
          </w:p>
        </w:tc>
        <w:tc>
          <w:tcPr>
            <w:tcW w:type="dxa" w:w="4320"/>
          </w:tcPr>
          <w:p>
            <w:r>
              <w:rPr>
                <w:sz w:val="18"/>
              </w:rPr>
              <w:t>Repository and product description</w:t>
            </w:r>
          </w:p>
        </w:tc>
      </w:tr>
      <w:tr>
        <w:tc>
          <w:tcPr>
            <w:tcW w:type="dxa" w:w="4320"/>
          </w:tcPr>
          <w:p>
            <w:r>
              <w:rPr>
                <w:sz w:val="18"/>
              </w:rPr>
              <w:t>Observatory execution framework</w:t>
            </w:r>
          </w:p>
        </w:tc>
        <w:tc>
          <w:tcPr>
            <w:tcW w:type="dxa" w:w="4320"/>
          </w:tcPr>
          <w:p>
            <w:r>
              <w:rPr>
                <w:sz w:val="18"/>
              </w:rPr>
              <w:t>Run reusable computational investigations</w:t>
            </w:r>
          </w:p>
        </w:tc>
      </w:tr>
      <w:tr>
        <w:tc>
          <w:tcPr>
            <w:tcW w:type="dxa" w:w="4320"/>
          </w:tcPr>
          <w:p>
            <w:r>
              <w:rPr>
                <w:sz w:val="18"/>
              </w:rPr>
              <w:t>Product management</w:t>
            </w:r>
          </w:p>
        </w:tc>
        <w:tc>
          <w:tcPr>
            <w:tcW w:type="dxa" w:w="4320"/>
          </w:tcPr>
          <w:p>
            <w:r>
              <w:rPr>
                <w:sz w:val="18"/>
              </w:rPr>
              <w:t>Preserve and organize persistent outputs</w:t>
            </w:r>
          </w:p>
        </w:tc>
      </w:tr>
      <w:tr>
        <w:tc>
          <w:tcPr>
            <w:tcW w:type="dxa" w:w="4320"/>
          </w:tcPr>
          <w:p>
            <w:r>
              <w:rPr>
                <w:sz w:val="18"/>
              </w:rPr>
              <w:t>Registry services</w:t>
            </w:r>
          </w:p>
        </w:tc>
        <w:tc>
          <w:tcPr>
            <w:tcW w:type="dxa" w:w="4320"/>
          </w:tcPr>
          <w:p>
            <w:r>
              <w:rPr>
                <w:sz w:val="18"/>
              </w:rPr>
              <w:t>Discover observatories and products</w:t>
            </w:r>
          </w:p>
        </w:tc>
      </w:tr>
    </w:tbl>
    <w:p/>
    <w:p>
      <w:r>
        <w:t>Table 6. Reproducibility Features.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Feature</w:t>
            </w:r>
          </w:p>
        </w:tc>
        <w:tc>
          <w:tcPr>
            <w:tcW w:type="dxa" w:w="4320"/>
          </w:tcPr>
          <w:p>
            <w:r>
              <w:rPr>
                <w:b/>
                <w:sz w:val="18"/>
              </w:rPr>
              <w:t>Purpose</w:t>
            </w:r>
          </w:p>
        </w:tc>
      </w:tr>
      <w:tr>
        <w:tc>
          <w:tcPr>
            <w:tcW w:type="dxa" w:w="4320"/>
          </w:tcPr>
          <w:p>
            <w:r>
              <w:rPr>
                <w:sz w:val="18"/>
              </w:rPr>
              <w:t>Deterministic construction</w:t>
            </w:r>
          </w:p>
        </w:tc>
        <w:tc>
          <w:tcPr>
            <w:tcW w:type="dxa" w:w="4320"/>
          </w:tcPr>
          <w:p>
            <w:r>
              <w:rPr>
                <w:sz w:val="18"/>
              </w:rPr>
              <w:t>Repeatable repository generation</w:t>
            </w:r>
          </w:p>
        </w:tc>
      </w:tr>
      <w:tr>
        <w:tc>
          <w:tcPr>
            <w:tcW w:type="dxa" w:w="4320"/>
          </w:tcPr>
          <w:p>
            <w:r>
              <w:rPr>
                <w:sz w:val="18"/>
              </w:rPr>
              <w:t>Independent verification</w:t>
            </w:r>
          </w:p>
        </w:tc>
        <w:tc>
          <w:tcPr>
            <w:tcW w:type="dxa" w:w="4320"/>
          </w:tcPr>
          <w:p>
            <w:r>
              <w:rPr>
                <w:sz w:val="18"/>
              </w:rPr>
              <w:t>Validate repository integrity</w:t>
            </w:r>
          </w:p>
        </w:tc>
      </w:tr>
      <w:tr>
        <w:tc>
          <w:tcPr>
            <w:tcW w:type="dxa" w:w="4320"/>
          </w:tcPr>
          <w:p>
            <w:r>
              <w:rPr>
                <w:sz w:val="18"/>
              </w:rPr>
              <w:t>Structured metadata</w:t>
            </w:r>
          </w:p>
        </w:tc>
        <w:tc>
          <w:tcPr>
            <w:tcW w:type="dxa" w:w="4320"/>
          </w:tcPr>
          <w:p>
            <w:r>
              <w:rPr>
                <w:sz w:val="18"/>
              </w:rPr>
              <w:t>Preserve repository and product context</w:t>
            </w:r>
          </w:p>
        </w:tc>
      </w:tr>
      <w:tr>
        <w:tc>
          <w:tcPr>
            <w:tcW w:type="dxa" w:w="4320"/>
          </w:tcPr>
          <w:p>
            <w:r>
              <w:rPr>
                <w:sz w:val="18"/>
              </w:rPr>
              <w:t>Observation sessions</w:t>
            </w:r>
          </w:p>
        </w:tc>
        <w:tc>
          <w:tcPr>
            <w:tcW w:type="dxa" w:w="4320"/>
          </w:tcPr>
          <w:p>
            <w:r>
              <w:rPr>
                <w:sz w:val="18"/>
              </w:rPr>
              <w:t>Preserve execution provenance</w:t>
            </w:r>
          </w:p>
        </w:tc>
      </w:tr>
      <w:tr>
        <w:tc>
          <w:tcPr>
            <w:tcW w:type="dxa" w:w="4320"/>
          </w:tcPr>
          <w:p>
            <w:r>
              <w:rPr>
                <w:sz w:val="18"/>
              </w:rPr>
              <w:t>Persistent products</w:t>
            </w:r>
          </w:p>
        </w:tc>
        <w:tc>
          <w:tcPr>
            <w:tcW w:type="dxa" w:w="4320"/>
          </w:tcPr>
          <w:p>
            <w:r>
              <w:rPr>
                <w:sz w:val="18"/>
              </w:rPr>
              <w:t>Enable reuse without recomputation</w:t>
            </w:r>
          </w:p>
        </w:tc>
      </w:tr>
      <w:tr>
        <w:tc>
          <w:tcPr>
            <w:tcW w:type="dxa" w:w="4320"/>
          </w:tcPr>
          <w:p>
            <w:r>
              <w:rPr>
                <w:sz w:val="18"/>
              </w:rPr>
              <w:t>Registry services</w:t>
            </w:r>
          </w:p>
        </w:tc>
        <w:tc>
          <w:tcPr>
            <w:tcW w:type="dxa" w:w="4320"/>
          </w:tcPr>
          <w:p>
            <w:r>
              <w:rPr>
                <w:sz w:val="18"/>
              </w:rPr>
              <w:t>Support discoverability and consistency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