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Table01 Reference Implementation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EAF4FB"/>
          </w:tcPr>
          <w:p>
            <w:pPr>
              <w:jc w:val="left"/>
            </w:pPr>
            <w:r>
              <w:rPr>
                <w:b/>
                <w:sz w:val="16"/>
              </w:rPr>
              <w:t>Characteristic</w:t>
            </w:r>
          </w:p>
        </w:tc>
        <w:tc>
          <w:tcPr>
            <w:tcW w:type="dxa" w:w="4320"/>
            <w:shd w:fill="EAF4FB"/>
          </w:tcPr>
          <w:p>
            <w:pPr>
              <w:jc w:val="left"/>
            </w:pPr>
            <w:r>
              <w:rPr>
                <w:b/>
                <w:sz w:val="16"/>
              </w:rPr>
              <w:t>Reference Implementation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Repository interval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1 &lt;= n &lt;= 3,000,000,000,000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Verified prime numbers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108,340,298,703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Largest stored prime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2,999,999,999,933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Repository segments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300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Segment size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10,000,000,000 integers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Repository verification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300/300 passed; SHA-256 certified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Repository construction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Deterministic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Prime Space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Implemented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Observatory Framework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Implemented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Product Framework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Implemented</w:t>
            </w:r>
          </w:p>
        </w:tc>
      </w:tr>
      <w:tr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Registry Services</w:t>
            </w:r>
          </w:p>
        </w:tc>
        <w:tc>
          <w:tcPr>
            <w:tcW w:type="dxa" w:w="4320"/>
          </w:tcPr>
          <w:p>
            <w:pPr>
              <w:jc w:val="left"/>
            </w:pPr>
            <w:r>
              <w:rPr>
                <w:b w:val="0"/>
                <w:sz w:val="16"/>
              </w:rPr>
              <w:t>Implemented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