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Table03 Architectural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4FB"/>
          </w:tcPr>
          <w:p>
            <w:pPr>
              <w:jc w:val="left"/>
            </w:pPr>
            <w:r>
              <w:rPr>
                <w:b/>
                <w:sz w:val="16"/>
              </w:rPr>
              <w:t>Component</w:t>
            </w:r>
          </w:p>
        </w:tc>
        <w:tc>
          <w:tcPr>
            <w:tcW w:type="dxa" w:w="4320"/>
            <w:shd w:fill="EAF4FB"/>
          </w:tcPr>
          <w:p>
            <w:pPr>
              <w:jc w:val="left"/>
            </w:pPr>
            <w:r>
              <w:rPr>
                <w:b/>
                <w:sz w:val="16"/>
              </w:rPr>
              <w:t>Primary Responsibility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Prime Space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Canonical observational coordinate framework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Repository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Persistent computational assets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Observatory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Reusable computational investigation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Observation Session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Provenance and execution context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Product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Persistent observational output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Atlas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Curated collection of related products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Registry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Discovery and lifecycle management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Publisher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Publication assets and manuscript generation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