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Table03 Architectural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4FB"/>
          </w:tcPr>
          <w:p>
            <w:pPr>
              <w:jc w:val="left"/>
            </w:pPr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4320"/>
            <w:shd w:fill="EAF4FB"/>
          </w:tcPr>
          <w:p>
            <w:pPr>
              <w:jc w:val="left"/>
            </w:pPr>
            <w:r>
              <w:rPr>
                <w:b/>
                <w:sz w:val="16"/>
              </w:rPr>
              <w:t>Primary Responsibility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Prime Space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Canonical observational coordinate framework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Repository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Persistent computational assets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Observatory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Reusable computational investigation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Observation Session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Provenance and execution context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Product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Persistent observational output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Atlas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Curated collection of related products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Registry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Discovery and lifecycle management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Publisher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Publication assets and manuscript generation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