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PrimeNet Controlled Execution Benchmark Report v2</w:t>
      </w:r>
    </w:p>
    <w:p>
      <w:pPr>
        <w:jc w:val="center"/>
      </w:pPr>
      <w:r>
        <w:rPr>
          <w:i/>
          <w:sz w:val="24"/>
        </w:rPr>
        <w:t>2T to 3T Repository Production Campaign</w:t>
      </w:r>
    </w:p>
    <w:p>
      <w:pPr>
        <w:jc w:val="center"/>
      </w:pPr>
      <w:r>
        <w:rPr>
          <w:sz w:val="18"/>
        </w:rPr>
        <w:t>Generated: 2026-07-09 02:33:17</w:t>
      </w:r>
    </w:p>
    <w:p>
      <w:pPr>
        <w:pStyle w:val="Heading1"/>
      </w:pPr>
      <w:r>
        <w:t>Executive Summary</w:t>
      </w:r>
    </w:p>
    <w:p>
      <w:pPr>
        <w:spacing w:after="120"/>
      </w:pPr>
      <w:r>
        <w:t>This report summarizes the PrimeNet controlled production campaign spanning 2,000,000,000,001 to 3,000,000,000,000. The campaign was executed under the integrated PrimeNet Controlled Execution Framework, which preserved wall-clock runtime evidence, heartbeat continuity, logs, environment metadata, and verified repository outputs.</w:t>
      </w:r>
    </w:p>
    <w:p>
      <w:pPr>
        <w:pStyle w:val="ListBullet"/>
      </w:pPr>
      <w:r>
        <w:t>Completed batches: 100 consecutive 10B batches.</w:t>
      </w:r>
    </w:p>
    <w:p>
      <w:pPr>
        <w:pStyle w:val="ListBullet"/>
      </w:pPr>
      <w:r>
        <w:t>Total primes generated: 35,038,402,564.</w:t>
      </w:r>
    </w:p>
    <w:p>
      <w:pPr>
        <w:pStyle w:val="ListBullet"/>
      </w:pPr>
      <w:r>
        <w:t>Total output size: 261.056 GB.</w:t>
      </w:r>
    </w:p>
    <w:p>
      <w:pPr>
        <w:pStyle w:val="ListBullet"/>
      </w:pPr>
      <w:r>
        <w:t>Batch-derived production runtime: 4.918 hours.</w:t>
      </w:r>
    </w:p>
    <w:p>
      <w:pPr>
        <w:pStyle w:val="ListBullet"/>
      </w:pPr>
      <w:r>
        <w:t>Mean runtime: 2.951 minutes per 10B batch.</w:t>
      </w:r>
    </w:p>
    <w:p>
      <w:pPr>
        <w:pStyle w:val="ListBullet"/>
      </w:pPr>
      <w:r>
        <w:t>Median runtime: 2.895 minutes per 10B batch.</w:t>
      </w:r>
    </w:p>
    <w:p>
      <w:pPr>
        <w:pStyle w:val="ListBullet"/>
      </w:pPr>
      <w:r>
        <w:t>95th percentile runtime: 3.388 minutes per 10B batch.</w:t>
      </w:r>
    </w:p>
    <w:p>
      <w:pPr>
        <w:pStyle w:val="ListBullet"/>
      </w:pPr>
      <w:r>
        <w:t>Verified outputs: 100/100.</w:t>
      </w:r>
    </w:p>
    <w:p>
      <w:pPr>
        <w:pStyle w:val="ListBullet"/>
      </w:pPr>
      <w:r>
        <w:t>Heartbeat rows: 1,778; heartbeat gap warnings: 0.</w:t>
      </w:r>
    </w:p>
    <w:p>
      <w:pPr>
        <w:pStyle w:val="Heading1"/>
      </w:pPr>
      <w:r>
        <w:t>Benchmark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Metric</w:t>
            </w:r>
          </w:p>
        </w:tc>
        <w:tc>
          <w:tcPr>
            <w:tcW w:type="dxa" w:w="5040"/>
            <w:vAlign w:val="center"/>
            <w:shd w:fill="D9EAF7"/>
          </w:tcPr>
          <w:p>
            <w:r/>
            <w:r>
              <w:rPr>
                <w:b/>
                <w:sz w:val="18"/>
              </w:rPr>
              <w:t>Value</w:t>
            </w:r>
          </w:p>
        </w:tc>
      </w:tr>
      <w:tr>
        <w:tc>
          <w:tcPr>
            <w:tcW w:type="dxa" w:w="5040"/>
            <w:vAlign w:val="center"/>
          </w:tcPr>
          <w:p>
            <w:r/>
            <w:r>
              <w:rPr>
                <w:b w:val="0"/>
                <w:sz w:val="18"/>
              </w:rPr>
              <w:t>Campaign range</w:t>
            </w:r>
          </w:p>
        </w:tc>
        <w:tc>
          <w:tcPr>
            <w:tcW w:type="dxa" w:w="5040"/>
            <w:vAlign w:val="center"/>
          </w:tcPr>
          <w:p>
            <w:r/>
            <w:r>
              <w:rPr>
                <w:b w:val="0"/>
                <w:sz w:val="18"/>
              </w:rPr>
              <w:t>2,000,000,000,001 to 3,000,000,000,000</w:t>
            </w:r>
          </w:p>
        </w:tc>
      </w:tr>
      <w:tr>
        <w:tc>
          <w:tcPr>
            <w:tcW w:type="dxa" w:w="5040"/>
            <w:vAlign w:val="center"/>
          </w:tcPr>
          <w:p>
            <w:r/>
            <w:r>
              <w:rPr>
                <w:b w:val="0"/>
                <w:sz w:val="18"/>
              </w:rPr>
              <w:t>Batch size</w:t>
            </w:r>
          </w:p>
        </w:tc>
        <w:tc>
          <w:tcPr>
            <w:tcW w:type="dxa" w:w="5040"/>
            <w:vAlign w:val="center"/>
          </w:tcPr>
          <w:p>
            <w:r/>
            <w:r>
              <w:rPr>
                <w:b w:val="0"/>
                <w:sz w:val="18"/>
              </w:rPr>
              <w:t>10,000,000,000 integers</w:t>
            </w:r>
          </w:p>
        </w:tc>
      </w:tr>
      <w:tr>
        <w:tc>
          <w:tcPr>
            <w:tcW w:type="dxa" w:w="5040"/>
            <w:vAlign w:val="center"/>
          </w:tcPr>
          <w:p>
            <w:r/>
            <w:r>
              <w:rPr>
                <w:b w:val="0"/>
                <w:sz w:val="18"/>
              </w:rPr>
              <w:t>Completed batches</w:t>
            </w:r>
          </w:p>
        </w:tc>
        <w:tc>
          <w:tcPr>
            <w:tcW w:type="dxa" w:w="5040"/>
            <w:vAlign w:val="center"/>
          </w:tcPr>
          <w:p>
            <w:r/>
            <w:r>
              <w:rPr>
                <w:b w:val="0"/>
                <w:sz w:val="18"/>
              </w:rPr>
              <w:t>100</w:t>
            </w:r>
          </w:p>
        </w:tc>
      </w:tr>
      <w:tr>
        <w:tc>
          <w:tcPr>
            <w:tcW w:type="dxa" w:w="5040"/>
            <w:vAlign w:val="center"/>
          </w:tcPr>
          <w:p>
            <w:r/>
            <w:r>
              <w:rPr>
                <w:b w:val="0"/>
                <w:sz w:val="18"/>
              </w:rPr>
              <w:t>Repository output</w:t>
            </w:r>
          </w:p>
        </w:tc>
        <w:tc>
          <w:tcPr>
            <w:tcW w:type="dxa" w:w="5040"/>
            <w:vAlign w:val="center"/>
          </w:tcPr>
          <w:p>
            <w:r/>
            <w:r>
              <w:rPr>
                <w:b w:val="0"/>
                <w:sz w:val="18"/>
              </w:rPr>
              <w:t>NumPy range files</w:t>
            </w:r>
          </w:p>
        </w:tc>
      </w:tr>
      <w:tr>
        <w:tc>
          <w:tcPr>
            <w:tcW w:type="dxa" w:w="5040"/>
            <w:vAlign w:val="center"/>
          </w:tcPr>
          <w:p>
            <w:r/>
            <w:r>
              <w:rPr>
                <w:b w:val="0"/>
                <w:sz w:val="18"/>
              </w:rPr>
              <w:t>Controlled execution</w:t>
            </w:r>
          </w:p>
        </w:tc>
        <w:tc>
          <w:tcPr>
            <w:tcW w:type="dxa" w:w="5040"/>
            <w:vAlign w:val="center"/>
          </w:tcPr>
          <w:p>
            <w:r/>
            <w:r>
              <w:rPr>
                <w:b w:val="0"/>
                <w:sz w:val="18"/>
              </w:rPr>
              <w:t>PrimeNet Controlled Execution Framework v1.0</w:t>
            </w:r>
          </w:p>
        </w:tc>
      </w:tr>
      <w:tr>
        <w:tc>
          <w:tcPr>
            <w:tcW w:type="dxa" w:w="5040"/>
            <w:vAlign w:val="center"/>
          </w:tcPr>
          <w:p>
            <w:r/>
            <w:r>
              <w:rPr>
                <w:b w:val="0"/>
                <w:sz w:val="18"/>
              </w:rPr>
              <w:t>Evidence package</w:t>
            </w:r>
          </w:p>
        </w:tc>
        <w:tc>
          <w:tcPr>
            <w:tcW w:type="dxa" w:w="5040"/>
            <w:vAlign w:val="center"/>
          </w:tcPr>
          <w:p>
            <w:r/>
            <w:r>
              <w:rPr>
                <w:b w:val="0"/>
                <w:sz w:val="18"/>
              </w:rPr>
              <w:t>C:\PrimeNet\reports\controlled_execution_benchmark_v2</w:t>
            </w:r>
          </w:p>
        </w:tc>
      </w:tr>
    </w:tbl>
    <w:p/>
    <w:p>
      <w:pPr>
        <w:pStyle w:val="Heading1"/>
      </w:pPr>
      <w:r>
        <w:t>Campaign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Metric</w:t>
            </w:r>
          </w:p>
        </w:tc>
        <w:tc>
          <w:tcPr>
            <w:tcW w:type="dxa" w:w="5040"/>
            <w:vAlign w:val="center"/>
            <w:shd w:fill="D9EAF7"/>
          </w:tcPr>
          <w:p>
            <w:r/>
            <w:r>
              <w:rPr>
                <w:b/>
                <w:sz w:val="18"/>
              </w:rPr>
              <w:t>Value</w:t>
            </w:r>
          </w:p>
        </w:tc>
      </w:tr>
      <w:tr>
        <w:tc>
          <w:tcPr>
            <w:tcW w:type="dxa" w:w="5040"/>
            <w:vAlign w:val="center"/>
          </w:tcPr>
          <w:p>
            <w:r/>
            <w:r>
              <w:rPr>
                <w:b w:val="0"/>
                <w:sz w:val="18"/>
              </w:rPr>
              <w:t>Total runtime</w:t>
            </w:r>
          </w:p>
        </w:tc>
        <w:tc>
          <w:tcPr>
            <w:tcW w:type="dxa" w:w="5040"/>
            <w:vAlign w:val="center"/>
          </w:tcPr>
          <w:p>
            <w:r/>
            <w:r>
              <w:rPr>
                <w:b w:val="0"/>
                <w:sz w:val="18"/>
              </w:rPr>
              <w:t>295.071 min = 4.918 h</w:t>
            </w:r>
          </w:p>
        </w:tc>
      </w:tr>
      <w:tr>
        <w:tc>
          <w:tcPr>
            <w:tcW w:type="dxa" w:w="5040"/>
            <w:vAlign w:val="center"/>
          </w:tcPr>
          <w:p>
            <w:r/>
            <w:r>
              <w:rPr>
                <w:b w:val="0"/>
                <w:sz w:val="18"/>
              </w:rPr>
              <w:t>Total primes</w:t>
            </w:r>
          </w:p>
        </w:tc>
        <w:tc>
          <w:tcPr>
            <w:tcW w:type="dxa" w:w="5040"/>
            <w:vAlign w:val="center"/>
          </w:tcPr>
          <w:p>
            <w:r/>
            <w:r>
              <w:rPr>
                <w:b w:val="0"/>
                <w:sz w:val="18"/>
              </w:rPr>
              <w:t>35,038,402,564</w:t>
            </w:r>
          </w:p>
        </w:tc>
      </w:tr>
      <w:tr>
        <w:tc>
          <w:tcPr>
            <w:tcW w:type="dxa" w:w="5040"/>
            <w:vAlign w:val="center"/>
          </w:tcPr>
          <w:p>
            <w:r/>
            <w:r>
              <w:rPr>
                <w:b w:val="0"/>
                <w:sz w:val="18"/>
              </w:rPr>
              <w:t>Mean prime count per 10B</w:t>
            </w:r>
          </w:p>
        </w:tc>
        <w:tc>
          <w:tcPr>
            <w:tcW w:type="dxa" w:w="5040"/>
            <w:vAlign w:val="center"/>
          </w:tcPr>
          <w:p>
            <w:r/>
            <w:r>
              <w:rPr>
                <w:b w:val="0"/>
                <w:sz w:val="18"/>
              </w:rPr>
              <w:t>350,384,025.64</w:t>
            </w:r>
          </w:p>
        </w:tc>
      </w:tr>
      <w:tr>
        <w:tc>
          <w:tcPr>
            <w:tcW w:type="dxa" w:w="5040"/>
            <w:vAlign w:val="center"/>
          </w:tcPr>
          <w:p>
            <w:r/>
            <w:r>
              <w:rPr>
                <w:b w:val="0"/>
                <w:sz w:val="18"/>
              </w:rPr>
              <w:t>Total output size</w:t>
            </w:r>
          </w:p>
        </w:tc>
        <w:tc>
          <w:tcPr>
            <w:tcW w:type="dxa" w:w="5040"/>
            <w:vAlign w:val="center"/>
          </w:tcPr>
          <w:p>
            <w:r/>
            <w:r>
              <w:rPr>
                <w:b w:val="0"/>
                <w:sz w:val="18"/>
              </w:rPr>
              <w:t>261.056 GB</w:t>
            </w:r>
          </w:p>
        </w:tc>
      </w:tr>
      <w:tr>
        <w:tc>
          <w:tcPr>
            <w:tcW w:type="dxa" w:w="5040"/>
            <w:vAlign w:val="center"/>
          </w:tcPr>
          <w:p>
            <w:r/>
            <w:r>
              <w:rPr>
                <w:b w:val="0"/>
                <w:sz w:val="18"/>
              </w:rPr>
              <w:t>Verified batches</w:t>
            </w:r>
          </w:p>
        </w:tc>
        <w:tc>
          <w:tcPr>
            <w:tcW w:type="dxa" w:w="5040"/>
            <w:vAlign w:val="center"/>
          </w:tcPr>
          <w:p>
            <w:r/>
            <w:r>
              <w:rPr>
                <w:b w:val="0"/>
                <w:sz w:val="18"/>
              </w:rPr>
              <w:t>100/100</w:t>
            </w:r>
          </w:p>
        </w:tc>
      </w:tr>
      <w:tr>
        <w:tc>
          <w:tcPr>
            <w:tcW w:type="dxa" w:w="5040"/>
            <w:vAlign w:val="center"/>
          </w:tcPr>
          <w:p>
            <w:r/>
            <w:r>
              <w:rPr>
                <w:b w:val="0"/>
                <w:sz w:val="18"/>
              </w:rPr>
              <w:t>Projected hours per 1T at mean</w:t>
            </w:r>
          </w:p>
        </w:tc>
        <w:tc>
          <w:tcPr>
            <w:tcW w:type="dxa" w:w="5040"/>
            <w:vAlign w:val="center"/>
          </w:tcPr>
          <w:p>
            <w:r/>
            <w:r>
              <w:rPr>
                <w:b w:val="0"/>
                <w:sz w:val="18"/>
              </w:rPr>
              <w:t>4.918 h</w:t>
            </w:r>
          </w:p>
        </w:tc>
      </w:tr>
    </w:tbl>
    <w:p/>
    <w:p>
      <w:pPr>
        <w:pStyle w:val="Heading1"/>
      </w:pPr>
      <w:r>
        <w:t>Runtime Statistics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Metric</w:t>
            </w:r>
          </w:p>
        </w:tc>
        <w:tc>
          <w:tcPr>
            <w:tcW w:type="dxa" w:w="5040"/>
            <w:vAlign w:val="center"/>
            <w:shd w:fill="D9EAF7"/>
          </w:tcPr>
          <w:p>
            <w:r/>
            <w:r>
              <w:rPr>
                <w:b/>
                <w:sz w:val="18"/>
              </w:rPr>
              <w:t>Value</w:t>
            </w:r>
          </w:p>
        </w:tc>
      </w:tr>
      <w:tr>
        <w:tc>
          <w:tcPr>
            <w:tcW w:type="dxa" w:w="5040"/>
            <w:vAlign w:val="center"/>
          </w:tcPr>
          <w:p>
            <w:r/>
            <w:r>
              <w:rPr>
                <w:b w:val="0"/>
                <w:sz w:val="18"/>
              </w:rPr>
              <w:t>Mean</w:t>
            </w:r>
          </w:p>
        </w:tc>
        <w:tc>
          <w:tcPr>
            <w:tcW w:type="dxa" w:w="5040"/>
            <w:vAlign w:val="center"/>
          </w:tcPr>
          <w:p>
            <w:r/>
            <w:r>
              <w:rPr>
                <w:b w:val="0"/>
                <w:sz w:val="18"/>
              </w:rPr>
              <w:t>2.951 min</w:t>
            </w:r>
          </w:p>
        </w:tc>
      </w:tr>
      <w:tr>
        <w:tc>
          <w:tcPr>
            <w:tcW w:type="dxa" w:w="5040"/>
            <w:vAlign w:val="center"/>
          </w:tcPr>
          <w:p>
            <w:r/>
            <w:r>
              <w:rPr>
                <w:b w:val="0"/>
                <w:sz w:val="18"/>
              </w:rPr>
              <w:t>Median</w:t>
            </w:r>
          </w:p>
        </w:tc>
        <w:tc>
          <w:tcPr>
            <w:tcW w:type="dxa" w:w="5040"/>
            <w:vAlign w:val="center"/>
          </w:tcPr>
          <w:p>
            <w:r/>
            <w:r>
              <w:rPr>
                <w:b w:val="0"/>
                <w:sz w:val="18"/>
              </w:rPr>
              <w:t>2.895 min</w:t>
            </w:r>
          </w:p>
        </w:tc>
      </w:tr>
      <w:tr>
        <w:tc>
          <w:tcPr>
            <w:tcW w:type="dxa" w:w="5040"/>
            <w:vAlign w:val="center"/>
          </w:tcPr>
          <w:p>
            <w:r/>
            <w:r>
              <w:rPr>
                <w:b w:val="0"/>
                <w:sz w:val="18"/>
              </w:rPr>
              <w:t>Standard deviation</w:t>
            </w:r>
          </w:p>
        </w:tc>
        <w:tc>
          <w:tcPr>
            <w:tcW w:type="dxa" w:w="5040"/>
            <w:vAlign w:val="center"/>
          </w:tcPr>
          <w:p>
            <w:r/>
            <w:r>
              <w:rPr>
                <w:b w:val="0"/>
                <w:sz w:val="18"/>
              </w:rPr>
              <w:t>0.254 min</w:t>
            </w:r>
          </w:p>
        </w:tc>
      </w:tr>
      <w:tr>
        <w:tc>
          <w:tcPr>
            <w:tcW w:type="dxa" w:w="5040"/>
            <w:vAlign w:val="center"/>
          </w:tcPr>
          <w:p>
            <w:r/>
            <w:r>
              <w:rPr>
                <w:b w:val="0"/>
                <w:sz w:val="18"/>
              </w:rPr>
              <w:t>Minimum</w:t>
            </w:r>
          </w:p>
        </w:tc>
        <w:tc>
          <w:tcPr>
            <w:tcW w:type="dxa" w:w="5040"/>
            <w:vAlign w:val="center"/>
          </w:tcPr>
          <w:p>
            <w:r/>
            <w:r>
              <w:rPr>
                <w:b w:val="0"/>
                <w:sz w:val="18"/>
              </w:rPr>
              <w:t>2.635 min</w:t>
            </w:r>
          </w:p>
        </w:tc>
      </w:tr>
      <w:tr>
        <w:tc>
          <w:tcPr>
            <w:tcW w:type="dxa" w:w="5040"/>
            <w:vAlign w:val="center"/>
          </w:tcPr>
          <w:p>
            <w:r/>
            <w:r>
              <w:rPr>
                <w:b w:val="0"/>
                <w:sz w:val="18"/>
              </w:rPr>
              <w:t>5th percentile</w:t>
            </w:r>
          </w:p>
        </w:tc>
        <w:tc>
          <w:tcPr>
            <w:tcW w:type="dxa" w:w="5040"/>
            <w:vAlign w:val="center"/>
          </w:tcPr>
          <w:p>
            <w:r/>
            <w:r>
              <w:rPr>
                <w:b w:val="0"/>
                <w:sz w:val="18"/>
              </w:rPr>
              <w:t>2.662 min</w:t>
            </w:r>
          </w:p>
        </w:tc>
      </w:tr>
      <w:tr>
        <w:tc>
          <w:tcPr>
            <w:tcW w:type="dxa" w:w="5040"/>
            <w:vAlign w:val="center"/>
          </w:tcPr>
          <w:p>
            <w:r/>
            <w:r>
              <w:rPr>
                <w:b w:val="0"/>
                <w:sz w:val="18"/>
              </w:rPr>
              <w:t>25th percentile</w:t>
            </w:r>
          </w:p>
        </w:tc>
        <w:tc>
          <w:tcPr>
            <w:tcW w:type="dxa" w:w="5040"/>
            <w:vAlign w:val="center"/>
          </w:tcPr>
          <w:p>
            <w:r/>
            <w:r>
              <w:rPr>
                <w:b w:val="0"/>
                <w:sz w:val="18"/>
              </w:rPr>
              <w:t>2.773 min</w:t>
            </w:r>
          </w:p>
        </w:tc>
      </w:tr>
      <w:tr>
        <w:tc>
          <w:tcPr>
            <w:tcW w:type="dxa" w:w="5040"/>
            <w:vAlign w:val="center"/>
          </w:tcPr>
          <w:p>
            <w:r/>
            <w:r>
              <w:rPr>
                <w:b w:val="0"/>
                <w:sz w:val="18"/>
              </w:rPr>
              <w:t>75th percentile</w:t>
            </w:r>
          </w:p>
        </w:tc>
        <w:tc>
          <w:tcPr>
            <w:tcW w:type="dxa" w:w="5040"/>
            <w:vAlign w:val="center"/>
          </w:tcPr>
          <w:p>
            <w:r/>
            <w:r>
              <w:rPr>
                <w:b w:val="0"/>
                <w:sz w:val="18"/>
              </w:rPr>
              <w:t>3.073 min</w:t>
            </w:r>
          </w:p>
        </w:tc>
      </w:tr>
      <w:tr>
        <w:tc>
          <w:tcPr>
            <w:tcW w:type="dxa" w:w="5040"/>
            <w:vAlign w:val="center"/>
          </w:tcPr>
          <w:p>
            <w:r/>
            <w:r>
              <w:rPr>
                <w:b w:val="0"/>
                <w:sz w:val="18"/>
              </w:rPr>
              <w:t>95th percentile</w:t>
            </w:r>
          </w:p>
        </w:tc>
        <w:tc>
          <w:tcPr>
            <w:tcW w:type="dxa" w:w="5040"/>
            <w:vAlign w:val="center"/>
          </w:tcPr>
          <w:p>
            <w:r/>
            <w:r>
              <w:rPr>
                <w:b w:val="0"/>
                <w:sz w:val="18"/>
              </w:rPr>
              <w:t>3.388 min</w:t>
            </w:r>
          </w:p>
        </w:tc>
      </w:tr>
      <w:tr>
        <w:tc>
          <w:tcPr>
            <w:tcW w:type="dxa" w:w="5040"/>
            <w:vAlign w:val="center"/>
          </w:tcPr>
          <w:p>
            <w:r/>
            <w:r>
              <w:rPr>
                <w:b w:val="0"/>
                <w:sz w:val="18"/>
              </w:rPr>
              <w:t>Maximum</w:t>
            </w:r>
          </w:p>
        </w:tc>
        <w:tc>
          <w:tcPr>
            <w:tcW w:type="dxa" w:w="5040"/>
            <w:vAlign w:val="center"/>
          </w:tcPr>
          <w:p>
            <w:r/>
            <w:r>
              <w:rPr>
                <w:b w:val="0"/>
                <w:sz w:val="18"/>
              </w:rPr>
              <w:t>4.145 min</w:t>
            </w:r>
          </w:p>
        </w:tc>
      </w:tr>
      <w:tr>
        <w:tc>
          <w:tcPr>
            <w:tcW w:type="dxa" w:w="5040"/>
            <w:vAlign w:val="center"/>
          </w:tcPr>
          <w:p>
            <w:r/>
            <w:r>
              <w:rPr>
                <w:b w:val="0"/>
                <w:sz w:val="18"/>
              </w:rPr>
              <w:t>IQR</w:t>
            </w:r>
          </w:p>
        </w:tc>
        <w:tc>
          <w:tcPr>
            <w:tcW w:type="dxa" w:w="5040"/>
            <w:vAlign w:val="center"/>
          </w:tcPr>
          <w:p>
            <w:r/>
            <w:r>
              <w:rPr>
                <w:b w:val="0"/>
                <w:sz w:val="18"/>
              </w:rPr>
              <w:t>0.300 min</w:t>
            </w:r>
          </w:p>
        </w:tc>
      </w:tr>
      <w:tr>
        <w:tc>
          <w:tcPr>
            <w:tcW w:type="dxa" w:w="5040"/>
            <w:vAlign w:val="center"/>
          </w:tcPr>
          <w:p>
            <w:r/>
            <w:r>
              <w:rPr>
                <w:b w:val="0"/>
                <w:sz w:val="18"/>
              </w:rPr>
              <w:t>Coefficient of variation</w:t>
            </w:r>
          </w:p>
        </w:tc>
        <w:tc>
          <w:tcPr>
            <w:tcW w:type="dxa" w:w="5040"/>
            <w:vAlign w:val="center"/>
          </w:tcPr>
          <w:p>
            <w:r/>
            <w:r>
              <w:rPr>
                <w:b w:val="0"/>
                <w:sz w:val="18"/>
              </w:rPr>
              <w:t>0.086</w:t>
            </w:r>
          </w:p>
        </w:tc>
      </w:tr>
    </w:tbl>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runtime_sequence_v2.png"/>
                    <pic:cNvPicPr/>
                  </pic:nvPicPr>
                  <pic:blipFill>
                    <a:blip r:embed="rId9"/>
                    <a:stretch>
                      <a:fillRect/>
                    </a:stretch>
                  </pic:blipFill>
                  <pic:spPr>
                    <a:xfrm>
                      <a:off x="0" y="0"/>
                      <a:ext cx="5943600" cy="2971800"/>
                    </a:xfrm>
                    <a:prstGeom prst="rect"/>
                  </pic:spPr>
                </pic:pic>
              </a:graphicData>
            </a:graphic>
          </wp:inline>
        </w:drawing>
      </w:r>
    </w:p>
    <w:p>
      <w:pPr>
        <w:jc w:val="center"/>
      </w:pPr>
      <w:r>
        <w:rPr>
          <w:i/>
        </w:rPr>
        <w:t>Figure 1. Total runtime per 10B batch across the controlled 2T to 3T campaign.</w:t>
      </w:r>
    </w:p>
    <w:p>
      <w:pPr>
        <w:jc w:val="center"/>
      </w:pPr>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runtime_distribution_v2.png"/>
                    <pic:cNvPicPr/>
                  </pic:nvPicPr>
                  <pic:blipFill>
                    <a:blip r:embed="rId10"/>
                    <a:stretch>
                      <a:fillRect/>
                    </a:stretch>
                  </pic:blipFill>
                  <pic:spPr>
                    <a:xfrm>
                      <a:off x="0" y="0"/>
                      <a:ext cx="5943600" cy="3302000"/>
                    </a:xfrm>
                    <a:prstGeom prst="rect"/>
                  </pic:spPr>
                </pic:pic>
              </a:graphicData>
            </a:graphic>
          </wp:inline>
        </w:drawing>
      </w:r>
    </w:p>
    <w:p>
      <w:pPr>
        <w:jc w:val="center"/>
      </w:pPr>
      <w:r>
        <w:rPr>
          <w:i/>
        </w:rPr>
        <w:t>Figure 2. Distribution of 10B batch runtimes with mean and median reference lines.</w:t>
      </w:r>
    </w:p>
    <w:p>
      <w:pPr>
        <w:pStyle w:val="Heading1"/>
      </w:pPr>
      <w:r>
        <w:t>Runtime Component Analysis</w:t>
      </w:r>
    </w:p>
    <w:p>
      <w:pPr>
        <w:spacing w:after="120"/>
      </w:pPr>
      <w:r>
        <w:t>Generation dominates the mean runtime per batch, with output serialization as the secondary cost and verification comparatively small on average.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Metric</w:t>
            </w:r>
          </w:p>
        </w:tc>
        <w:tc>
          <w:tcPr>
            <w:tcW w:type="dxa" w:w="5040"/>
            <w:vAlign w:val="center"/>
            <w:shd w:fill="D9EAF7"/>
          </w:tcPr>
          <w:p>
            <w:r/>
            <w:r>
              <w:rPr>
                <w:b/>
                <w:sz w:val="18"/>
              </w:rPr>
              <w:t>Value</w:t>
            </w:r>
          </w:p>
        </w:tc>
      </w:tr>
      <w:tr>
        <w:tc>
          <w:tcPr>
            <w:tcW w:type="dxa" w:w="5040"/>
            <w:vAlign w:val="center"/>
          </w:tcPr>
          <w:p>
            <w:r/>
            <w:r>
              <w:rPr>
                <w:b w:val="0"/>
                <w:sz w:val="18"/>
              </w:rPr>
              <w:t>Generate mean</w:t>
            </w:r>
          </w:p>
        </w:tc>
        <w:tc>
          <w:tcPr>
            <w:tcW w:type="dxa" w:w="5040"/>
            <w:vAlign w:val="center"/>
          </w:tcPr>
          <w:p>
            <w:r/>
            <w:r>
              <w:rPr>
                <w:b w:val="0"/>
                <w:sz w:val="18"/>
              </w:rPr>
              <w:t>2.315 min</w:t>
            </w:r>
          </w:p>
        </w:tc>
      </w:tr>
      <w:tr>
        <w:tc>
          <w:tcPr>
            <w:tcW w:type="dxa" w:w="5040"/>
            <w:vAlign w:val="center"/>
          </w:tcPr>
          <w:p>
            <w:r/>
            <w:r>
              <w:rPr>
                <w:b w:val="0"/>
                <w:sz w:val="18"/>
              </w:rPr>
              <w:t>Save mean</w:t>
            </w:r>
          </w:p>
        </w:tc>
        <w:tc>
          <w:tcPr>
            <w:tcW w:type="dxa" w:w="5040"/>
            <w:vAlign w:val="center"/>
          </w:tcPr>
          <w:p>
            <w:r/>
            <w:r>
              <w:rPr>
                <w:b w:val="0"/>
                <w:sz w:val="18"/>
              </w:rPr>
              <w:t>0.603 min</w:t>
            </w:r>
          </w:p>
        </w:tc>
      </w:tr>
      <w:tr>
        <w:tc>
          <w:tcPr>
            <w:tcW w:type="dxa" w:w="5040"/>
            <w:vAlign w:val="center"/>
          </w:tcPr>
          <w:p>
            <w:r/>
            <w:r>
              <w:rPr>
                <w:b w:val="0"/>
                <w:sz w:val="18"/>
              </w:rPr>
              <w:t>Verify mean</w:t>
            </w:r>
          </w:p>
        </w:tc>
        <w:tc>
          <w:tcPr>
            <w:tcW w:type="dxa" w:w="5040"/>
            <w:vAlign w:val="center"/>
          </w:tcPr>
          <w:p>
            <w:r/>
            <w:r>
              <w:rPr>
                <w:b w:val="0"/>
                <w:sz w:val="18"/>
              </w:rPr>
              <w:t>0.033 min</w:t>
            </w:r>
          </w:p>
        </w:tc>
      </w:tr>
      <w:tr>
        <w:tc>
          <w:tcPr>
            <w:tcW w:type="dxa" w:w="5040"/>
            <w:vAlign w:val="center"/>
          </w:tcPr>
          <w:p>
            <w:r/>
            <w:r>
              <w:rPr>
                <w:b w:val="0"/>
                <w:sz w:val="18"/>
              </w:rPr>
              <w:t>Generate median</w:t>
            </w:r>
          </w:p>
        </w:tc>
        <w:tc>
          <w:tcPr>
            <w:tcW w:type="dxa" w:w="5040"/>
            <w:vAlign w:val="center"/>
          </w:tcPr>
          <w:p>
            <w:r/>
            <w:r>
              <w:rPr>
                <w:b w:val="0"/>
                <w:sz w:val="18"/>
              </w:rPr>
              <w:t>2.265 min</w:t>
            </w:r>
          </w:p>
        </w:tc>
      </w:tr>
      <w:tr>
        <w:tc>
          <w:tcPr>
            <w:tcW w:type="dxa" w:w="5040"/>
            <w:vAlign w:val="center"/>
          </w:tcPr>
          <w:p>
            <w:r/>
            <w:r>
              <w:rPr>
                <w:b w:val="0"/>
                <w:sz w:val="18"/>
              </w:rPr>
              <w:t>Save median</w:t>
            </w:r>
          </w:p>
        </w:tc>
        <w:tc>
          <w:tcPr>
            <w:tcW w:type="dxa" w:w="5040"/>
            <w:vAlign w:val="center"/>
          </w:tcPr>
          <w:p>
            <w:r/>
            <w:r>
              <w:rPr>
                <w:b w:val="0"/>
                <w:sz w:val="18"/>
              </w:rPr>
              <w:t>0.608 min</w:t>
            </w:r>
          </w:p>
        </w:tc>
      </w:tr>
      <w:tr>
        <w:tc>
          <w:tcPr>
            <w:tcW w:type="dxa" w:w="5040"/>
            <w:vAlign w:val="center"/>
          </w:tcPr>
          <w:p>
            <w:r/>
            <w:r>
              <w:rPr>
                <w:b w:val="0"/>
                <w:sz w:val="18"/>
              </w:rPr>
              <w:t>Verify median</w:t>
            </w:r>
          </w:p>
        </w:tc>
        <w:tc>
          <w:tcPr>
            <w:tcW w:type="dxa" w:w="5040"/>
            <w:vAlign w:val="center"/>
          </w:tcPr>
          <w:p>
            <w:r/>
            <w:r>
              <w:rPr>
                <w:b w:val="0"/>
                <w:sz w:val="18"/>
              </w:rPr>
              <w:t>0.016 min</w:t>
            </w:r>
          </w:p>
        </w:tc>
      </w:tr>
    </w:tbl>
    <w:p/>
    <w:p>
      <w:pPr>
        <w:jc w:val="center"/>
      </w:pPr>
      <w:r>
        <w:drawing>
          <wp:inline xmlns:a="http://schemas.openxmlformats.org/drawingml/2006/main" xmlns:pic="http://schemas.openxmlformats.org/drawingml/2006/picture">
            <wp:extent cx="5943600" cy="3820886"/>
            <wp:docPr id="3" name="Picture 3"/>
            <wp:cNvGraphicFramePr>
              <a:graphicFrameLocks noChangeAspect="1"/>
            </wp:cNvGraphicFramePr>
            <a:graphic>
              <a:graphicData uri="http://schemas.openxmlformats.org/drawingml/2006/picture">
                <pic:pic>
                  <pic:nvPicPr>
                    <pic:cNvPr id="0" name="runtime_components_mean_v2.png"/>
                    <pic:cNvPicPr/>
                  </pic:nvPicPr>
                  <pic:blipFill>
                    <a:blip r:embed="rId11"/>
                    <a:stretch>
                      <a:fillRect/>
                    </a:stretch>
                  </pic:blipFill>
                  <pic:spPr>
                    <a:xfrm>
                      <a:off x="0" y="0"/>
                      <a:ext cx="5943600" cy="3820886"/>
                    </a:xfrm>
                    <a:prstGeom prst="rect"/>
                  </pic:spPr>
                </pic:pic>
              </a:graphicData>
            </a:graphic>
          </wp:inline>
        </w:drawing>
      </w:r>
    </w:p>
    <w:p>
      <w:pPr>
        <w:jc w:val="center"/>
      </w:pPr>
      <w:r>
        <w:rPr>
          <w:i/>
        </w:rPr>
        <w:t>Figure 3. Mean runtime components per 10B batch.</w:t>
      </w:r>
    </w:p>
    <w:p>
      <w:pPr>
        <w:jc w:val="center"/>
      </w:pPr>
      <w:r>
        <w:drawing>
          <wp:inline xmlns:a="http://schemas.openxmlformats.org/drawingml/2006/main" xmlns:pic="http://schemas.openxmlformats.org/drawingml/2006/picture">
            <wp:extent cx="5943600" cy="2971800"/>
            <wp:docPr id="4" name="Picture 4"/>
            <wp:cNvGraphicFramePr>
              <a:graphicFrameLocks noChangeAspect="1"/>
            </wp:cNvGraphicFramePr>
            <a:graphic>
              <a:graphicData uri="http://schemas.openxmlformats.org/drawingml/2006/picture">
                <pic:pic>
                  <pic:nvPicPr>
                    <pic:cNvPr id="0" name="runtime_components_sequence_v2.png"/>
                    <pic:cNvPicPr/>
                  </pic:nvPicPr>
                  <pic:blipFill>
                    <a:blip r:embed="rId12"/>
                    <a:stretch>
                      <a:fillRect/>
                    </a:stretch>
                  </pic:blipFill>
                  <pic:spPr>
                    <a:xfrm>
                      <a:off x="0" y="0"/>
                      <a:ext cx="5943600" cy="2971800"/>
                    </a:xfrm>
                    <a:prstGeom prst="rect"/>
                  </pic:spPr>
                </pic:pic>
              </a:graphicData>
            </a:graphic>
          </wp:inline>
        </w:drawing>
      </w:r>
    </w:p>
    <w:p>
      <w:pPr>
        <w:jc w:val="center"/>
      </w:pPr>
      <w:r>
        <w:rPr>
          <w:i/>
        </w:rPr>
        <w:t>Figure 4. Runtime components by batch index.</w:t>
      </w:r>
    </w:p>
    <w:p>
      <w:pPr>
        <w:pStyle w:val="Heading1"/>
      </w:pPr>
      <w:r>
        <w:t>Execution Continuity</w:t>
      </w:r>
    </w:p>
    <w:p>
      <w:pPr>
        <w:spacing w:after="120"/>
      </w:pPr>
      <w:r>
        <w:t>The heartbeat record provides direct evidence that the campaign ran under continuous controlled execution. The observed heartbeat intervals remained close to the 10-second target and produced zero heartbeat-gap warnings.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Metric</w:t>
            </w:r>
          </w:p>
        </w:tc>
        <w:tc>
          <w:tcPr>
            <w:tcW w:type="dxa" w:w="5040"/>
            <w:vAlign w:val="center"/>
            <w:shd w:fill="D9EAF7"/>
          </w:tcPr>
          <w:p>
            <w:r/>
            <w:r>
              <w:rPr>
                <w:b/>
                <w:sz w:val="18"/>
              </w:rPr>
              <w:t>Value</w:t>
            </w:r>
          </w:p>
        </w:tc>
      </w:tr>
      <w:tr>
        <w:tc>
          <w:tcPr>
            <w:tcW w:type="dxa" w:w="5040"/>
            <w:vAlign w:val="center"/>
          </w:tcPr>
          <w:p>
            <w:r/>
            <w:r>
              <w:rPr>
                <w:b w:val="0"/>
                <w:sz w:val="18"/>
              </w:rPr>
              <w:t>Heartbeat rows</w:t>
            </w:r>
          </w:p>
        </w:tc>
        <w:tc>
          <w:tcPr>
            <w:tcW w:type="dxa" w:w="5040"/>
            <w:vAlign w:val="center"/>
          </w:tcPr>
          <w:p>
            <w:r/>
            <w:r>
              <w:rPr>
                <w:b w:val="0"/>
                <w:sz w:val="18"/>
              </w:rPr>
              <w:t>1,778</w:t>
            </w:r>
          </w:p>
        </w:tc>
      </w:tr>
      <w:tr>
        <w:tc>
          <w:tcPr>
            <w:tcW w:type="dxa" w:w="5040"/>
            <w:vAlign w:val="center"/>
          </w:tcPr>
          <w:p>
            <w:r/>
            <w:r>
              <w:rPr>
                <w:b w:val="0"/>
                <w:sz w:val="18"/>
              </w:rPr>
              <w:t>Mean heartbeat interval</w:t>
            </w:r>
          </w:p>
        </w:tc>
        <w:tc>
          <w:tcPr>
            <w:tcW w:type="dxa" w:w="5040"/>
            <w:vAlign w:val="center"/>
          </w:tcPr>
          <w:p>
            <w:r/>
            <w:r>
              <w:rPr>
                <w:b w:val="0"/>
                <w:sz w:val="18"/>
              </w:rPr>
              <w:t>10.016 sec</w:t>
            </w:r>
          </w:p>
        </w:tc>
      </w:tr>
      <w:tr>
        <w:tc>
          <w:tcPr>
            <w:tcW w:type="dxa" w:w="5040"/>
            <w:vAlign w:val="center"/>
          </w:tcPr>
          <w:p>
            <w:r/>
            <w:r>
              <w:rPr>
                <w:b w:val="0"/>
                <w:sz w:val="18"/>
              </w:rPr>
              <w:t>95th percentile interval</w:t>
            </w:r>
          </w:p>
        </w:tc>
        <w:tc>
          <w:tcPr>
            <w:tcW w:type="dxa" w:w="5040"/>
            <w:vAlign w:val="center"/>
          </w:tcPr>
          <w:p>
            <w:r/>
            <w:r>
              <w:rPr>
                <w:b w:val="0"/>
                <w:sz w:val="18"/>
              </w:rPr>
              <w:t>10.024 sec</w:t>
            </w:r>
          </w:p>
        </w:tc>
      </w:tr>
      <w:tr>
        <w:tc>
          <w:tcPr>
            <w:tcW w:type="dxa" w:w="5040"/>
            <w:vAlign w:val="center"/>
          </w:tcPr>
          <w:p>
            <w:r/>
            <w:r>
              <w:rPr>
                <w:b w:val="0"/>
                <w:sz w:val="18"/>
              </w:rPr>
              <w:t>Maximum interval</w:t>
            </w:r>
          </w:p>
        </w:tc>
        <w:tc>
          <w:tcPr>
            <w:tcW w:type="dxa" w:w="5040"/>
            <w:vAlign w:val="center"/>
          </w:tcPr>
          <w:p>
            <w:r/>
            <w:r>
              <w:rPr>
                <w:b w:val="0"/>
                <w:sz w:val="18"/>
              </w:rPr>
              <w:t>10.407 sec</w:t>
            </w:r>
          </w:p>
        </w:tc>
      </w:tr>
      <w:tr>
        <w:tc>
          <w:tcPr>
            <w:tcW w:type="dxa" w:w="5040"/>
            <w:vAlign w:val="center"/>
          </w:tcPr>
          <w:p>
            <w:r/>
            <w:r>
              <w:rPr>
                <w:b w:val="0"/>
                <w:sz w:val="18"/>
              </w:rPr>
              <w:t>Heartbeat gap warnings</w:t>
            </w:r>
          </w:p>
        </w:tc>
        <w:tc>
          <w:tcPr>
            <w:tcW w:type="dxa" w:w="5040"/>
            <w:vAlign w:val="center"/>
          </w:tcPr>
          <w:p>
            <w:r/>
            <w:r>
              <w:rPr>
                <w:b w:val="0"/>
                <w:sz w:val="18"/>
              </w:rPr>
              <w:t>0</w:t>
            </w:r>
          </w:p>
        </w:tc>
      </w:tr>
    </w:tbl>
    <w:p/>
    <w:p>
      <w:pPr>
        <w:jc w:val="center"/>
      </w:pPr>
      <w:r>
        <w:drawing>
          <wp:inline xmlns:a="http://schemas.openxmlformats.org/drawingml/2006/main" xmlns:pic="http://schemas.openxmlformats.org/drawingml/2006/picture">
            <wp:extent cx="5943600" cy="2674620"/>
            <wp:docPr id="5" name="Picture 5"/>
            <wp:cNvGraphicFramePr>
              <a:graphicFrameLocks noChangeAspect="1"/>
            </wp:cNvGraphicFramePr>
            <a:graphic>
              <a:graphicData uri="http://schemas.openxmlformats.org/drawingml/2006/picture">
                <pic:pic>
                  <pic:nvPicPr>
                    <pic:cNvPr id="0" name="heartbeat_interval_v2.png"/>
                    <pic:cNvPicPr/>
                  </pic:nvPicPr>
                  <pic:blipFill>
                    <a:blip r:embed="rId13"/>
                    <a:stretch>
                      <a:fillRect/>
                    </a:stretch>
                  </pic:blipFill>
                  <pic:spPr>
                    <a:xfrm>
                      <a:off x="0" y="0"/>
                      <a:ext cx="5943600" cy="2674620"/>
                    </a:xfrm>
                    <a:prstGeom prst="rect"/>
                  </pic:spPr>
                </pic:pic>
              </a:graphicData>
            </a:graphic>
          </wp:inline>
        </w:drawing>
      </w:r>
    </w:p>
    <w:p>
      <w:pPr>
        <w:jc w:val="center"/>
      </w:pPr>
      <w:r>
        <w:rPr>
          <w:i/>
        </w:rPr>
        <w:t>Figure 5. Controlled execution heartbeat continuity across the production campaign.</w:t>
      </w:r>
    </w:p>
    <w:p>
      <w:pPr>
        <w:pStyle w:val="Heading1"/>
      </w:pPr>
      <w:r>
        <w:t>Repository Consistency Diagnostic</w:t>
      </w:r>
    </w:p>
    <w:p>
      <w:pPr>
        <w:spacing w:after="120"/>
      </w:pPr>
      <w:r>
        <w:t>The prime count per 10B batch decreases smoothly over the campaign, consistent with declining prime density and with no visible repository discontinuity.</w:t>
      </w:r>
    </w:p>
    <w:p>
      <w:pPr>
        <w:jc w:val="center"/>
      </w:pPr>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prime_count_sequence_v2.png"/>
                    <pic:cNvPicPr/>
                  </pic:nvPicPr>
                  <pic:blipFill>
                    <a:blip r:embed="rId14"/>
                    <a:stretch>
                      <a:fillRect/>
                    </a:stretch>
                  </pic:blipFill>
                  <pic:spPr>
                    <a:xfrm>
                      <a:off x="0" y="0"/>
                      <a:ext cx="5943600" cy="2971800"/>
                    </a:xfrm>
                    <a:prstGeom prst="rect"/>
                  </pic:spPr>
                </pic:pic>
              </a:graphicData>
            </a:graphic>
          </wp:inline>
        </w:drawing>
      </w:r>
    </w:p>
    <w:p>
      <w:pPr>
        <w:jc w:val="center"/>
      </w:pPr>
      <w:r>
        <w:rPr>
          <w:i/>
        </w:rPr>
        <w:t>Figure 6. Prime count per 10B batch across the 2T to 3T campaign.</w:t>
      </w:r>
    </w:p>
    <w:p>
      <w:pPr>
        <w:pStyle w:val="Heading1"/>
      </w:pPr>
      <w:r>
        <w:t>Stability and Runtime Excursions</w:t>
      </w:r>
    </w:p>
    <w:p>
      <w:pPr>
        <w:spacing w:after="120"/>
      </w:pPr>
      <w:r>
        <w:t>A linear trend fit gives a slope of 0.001818 minutes per batch, with R^2 = 0.043 and a fitted campaign-scale change of 0.180 minutes. This is best interpreted as an engineering diagnostic rather than a mathematical law.</w:t>
      </w:r>
    </w:p>
    <w:p>
      <w:pPr>
        <w:spacing w:after="120"/>
      </w:pPr>
      <w:r>
        <w:t>Using the IQR rule (Q3 + 1.5*IQR), the runtime excursion threshold was 3.523 minutes and 3 batches were flagged. The campaign returned to its baseline runtime regime after excursions, supporting the conclusion that no progressive throughput degradation was observed.</w:t>
      </w:r>
    </w:p>
    <w:p>
      <w:pPr>
        <w:pStyle w:val="Heading1"/>
      </w:pPr>
      <w:r>
        <w:t>Interpretation</w:t>
      </w:r>
    </w:p>
    <w:p>
      <w:pPr>
        <w:spacing w:after="120"/>
      </w:pPr>
      <w:r>
        <w:t>Under controlled execution conditions on the current commodity-hardware platform, PrimeNet demonstrated sustained repository-production throughput of approximately 10 billion integers per three minutes. Earlier anomalous wall-clock measurements are excluded from the controlled performance baseline because they were obtained under uncontrolled execution conditions. The controlled campaign instead preserved continuous execution telemetry, logs, environment metadata, and verified repository artifacts.</w:t>
      </w:r>
    </w:p>
    <w:p>
      <w:pPr>
        <w:pStyle w:val="Heading1"/>
      </w:pPr>
      <w:r>
        <w:t>Reproducibility Statement</w:t>
      </w:r>
    </w:p>
    <w:p>
      <w:pPr>
        <w:spacing w:after="120"/>
      </w:pPr>
      <w:r>
        <w:t>The report package preserves the evidence required to reproduce the benchmark analysis: command record, stdout and stderr logs, job summary, heartbeat telemetry, environment metadata, campaign summary, batch runtime table, correlation matrix, outlier table, and generated figures.</w:t>
      </w:r>
    </w:p>
    <w:p>
      <w:pPr>
        <w:pStyle w:val="Heading1"/>
      </w:pPr>
      <w:r>
        <w:t>Conclusion</w:t>
      </w:r>
    </w:p>
    <w:p>
      <w:pPr>
        <w:spacing w:after="120"/>
      </w:pPr>
      <w:r>
        <w:t>Across a controlled one-trillion-integer production campaign, PrimeNet completed 100 consecutive 10B batches with complete output verification and uninterrupted heartbeat telemetry. The mean runtime was 2.951 minutes per 10B batch and the median runtime was 2.895 minutes. These results establish a platform-specific controlled execution baseline for PrimeNet repository production.</w:t>
      </w:r>
    </w:p>
    <w:p>
      <w:pPr>
        <w:jc w:val="center"/>
      </w:pPr>
      <w:r>
        <w:rPr>
          <w:b/>
          <w:i/>
        </w:rPr>
        <w:t>Observe the primes. Measure the computation. Validate the evidence. Trust the result.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