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eastAsia="Malgun Gothic"/>
          <w:b/>
          <w:i w:val="0"/>
          <w:color w:val="1A1A1A"/>
          <w:sz w:val="26"/>
        </w:rPr>
        <w:t>RECOMMENDATION FOR JINHYUN AN</w:t>
      </w:r>
    </w:p>
    <w:p>
      <w:pPr>
        <w:spacing w:after="20"/>
      </w:pPr>
      <w:r>
        <w:rPr>
          <w:rFonts w:ascii="Calibri" w:hAnsi="Calibri" w:eastAsia="Malgun Gothic"/>
          <w:b w:val="0"/>
          <w:i w:val="0"/>
          <w:color w:val="666666"/>
          <w:sz w:val="19"/>
        </w:rPr>
        <w:t>Applicant: Jinhyun An  |  Program: MS in Artificial Intelligence (Online), Spring 2027</w:t>
      </w:r>
    </w:p>
    <w:p>
      <w:pPr>
        <w:spacing w:after="20"/>
      </w:pPr>
      <w:r>
        <w:rPr>
          <w:rFonts w:ascii="Calibri" w:hAnsi="Calibri" w:eastAsia="Malgun Gothic"/>
          <w:b w:val="0"/>
          <w:i w:val="0"/>
          <w:color w:val="666666"/>
          <w:sz w:val="19"/>
        </w:rPr>
        <w:t>Recommender: [Name], AI Education Lead, Data Planning Group</w:t>
      </w:r>
    </w:p>
    <w:p>
      <w:pPr>
        <w:spacing w:after="20"/>
      </w:pPr>
      <w:r>
        <w:rPr>
          <w:rFonts w:ascii="Calibri" w:hAnsi="Calibri" w:eastAsia="Malgun Gothic"/>
          <w:b w:val="0"/>
          <w:i w:val="0"/>
          <w:color w:val="666666"/>
          <w:sz w:val="19"/>
        </w:rPr>
        <w:t>Relationship: Program supervisor  |  Period: First half of 2026</w:t>
      </w:r>
    </w:p>
    <w:p>
      <w:pPr>
        <w:spacing w:after="120"/>
      </w:pPr>
    </w:p>
    <w:p>
      <w:pPr>
        <w:spacing w:after="60"/>
        <w:pBdr>
          <w:bottom w:val="single" w:sz="6" w:space="4" w:color="D9D9D9"/>
        </w:pBdr>
      </w:pPr>
      <w:r>
        <w:rPr>
          <w:rFonts w:ascii="Calibri" w:hAnsi="Calibri" w:eastAsia="Malgun Gothic"/>
          <w:b/>
          <w:i w:val="0"/>
          <w:color w:val="1A1A1A"/>
          <w:sz w:val="23"/>
        </w:rPr>
        <w:t>How I know the applicant</w:t>
      </w:r>
    </w:p>
    <w:p>
      <w:pPr>
        <w:spacing w:after="160"/>
      </w:pPr>
      <w:r>
        <w:rPr>
          <w:rFonts w:ascii="Calibri" w:hAnsi="Calibri" w:eastAsia="Malgun Gothic"/>
          <w:b w:val="0"/>
          <w:i w:val="0"/>
          <w:color w:val="1A1A1A"/>
          <w:sz w:val="22"/>
        </w:rPr>
        <w:t>I design and run our company's internal AI training program. In the first half of 2026 we selected a limited number of employees from across the business as AI Supporters, and Jinhyun was one of them. I supervised that program and worked with the participants throughout. My comments below are based on watching him alongside the rest of that group.</w:t>
      </w:r>
    </w:p>
    <w:p>
      <w:pPr>
        <w:spacing w:after="120"/>
      </w:pPr>
    </w:p>
    <w:p>
      <w:pPr>
        <w:spacing w:after="60"/>
        <w:pBdr>
          <w:bottom w:val="single" w:sz="6" w:space="4" w:color="D9D9D9"/>
        </w:pBdr>
      </w:pPr>
      <w:r>
        <w:rPr>
          <w:rFonts w:ascii="Calibri" w:hAnsi="Calibri" w:eastAsia="Malgun Gothic"/>
          <w:b/>
          <w:i w:val="0"/>
          <w:color w:val="1A1A1A"/>
          <w:sz w:val="23"/>
        </w:rPr>
        <w:t>What distinguished him</w:t>
      </w:r>
    </w:p>
    <w:p>
      <w:pPr>
        <w:pStyle w:val="ListBullet"/>
        <w:spacing w:after="80"/>
        <w:ind w:left="360"/>
      </w:pPr>
      <w:r>
        <w:rPr>
          <w:rFonts w:ascii="Calibri" w:hAnsi="Calibri"/>
          <w:color w:val="1A1A1A"/>
          <w:sz w:val="22"/>
        </w:rPr>
        <w:t>He came from a non-technical background. He is a power plant design engineer, not a developer, and he was one of the few participants without a software or data role.</w:t>
      </w:r>
    </w:p>
    <w:p>
      <w:pPr>
        <w:pStyle w:val="ListBullet"/>
        <w:spacing w:after="80"/>
        <w:ind w:left="360"/>
      </w:pPr>
      <w:r>
        <w:rPr>
          <w:rFonts w:ascii="Calibri" w:hAnsi="Calibri"/>
          <w:color w:val="1A1A1A"/>
          <w:sz w:val="22"/>
        </w:rPr>
        <w:t>His questions were different in kind. Most participants asked how to use a tool. He asked why a method behaved the way it did, and he came back later having tested the answer.</w:t>
      </w:r>
    </w:p>
    <w:p>
      <w:pPr>
        <w:pStyle w:val="ListBullet"/>
        <w:spacing w:after="80"/>
        <w:ind w:left="360"/>
      </w:pPr>
      <w:r>
        <w:rPr>
          <w:rFonts w:ascii="Calibri" w:hAnsi="Calibri"/>
          <w:color w:val="1A1A1A"/>
          <w:sz w:val="22"/>
        </w:rPr>
        <w:t>He kept going after the program ended. Training programs usually end when the sessions end. He has continued building since, on his own time, and the results are published rather than described.</w:t>
      </w:r>
    </w:p>
    <w:p>
      <w:pPr>
        <w:spacing w:after="120"/>
      </w:pPr>
    </w:p>
    <w:p>
      <w:pPr>
        <w:spacing w:after="60"/>
        <w:pBdr>
          <w:bottom w:val="single" w:sz="6" w:space="4" w:color="D9D9D9"/>
        </w:pBdr>
      </w:pPr>
      <w:r>
        <w:rPr>
          <w:rFonts w:ascii="Calibri" w:hAnsi="Calibri" w:eastAsia="Malgun Gothic"/>
          <w:b/>
          <w:i w:val="0"/>
          <w:color w:val="1A1A1A"/>
          <w:sz w:val="23"/>
        </w:rPr>
        <w:t>On his readiness for graduate study</w:t>
      </w:r>
    </w:p>
    <w:p>
      <w:pPr>
        <w:spacing w:after="160"/>
      </w:pPr>
      <w:r>
        <w:rPr>
          <w:rFonts w:ascii="Calibri" w:hAnsi="Calibri" w:eastAsia="Malgun Gothic"/>
          <w:b w:val="0"/>
          <w:i w:val="0"/>
          <w:color w:val="1A1A1A"/>
          <w:sz w:val="22"/>
        </w:rPr>
        <w:t>I completed a master's degree in a data-related field myself, so I have some basis for judging this. Graduate work rewards people who are uncomfortable using something they cannot explain, and that is the disposition I saw in him. He has been away from university for twelve years and his degree is in mechanical and control engineering, which is a real gap. He has been addressing it since April with university coursework in data structures and algorithms, without waiting for an admission decision.</w:t>
      </w:r>
    </w:p>
    <w:p>
      <w:pPr>
        <w:spacing w:after="120"/>
      </w:pPr>
    </w:p>
    <w:p>
      <w:pPr>
        <w:spacing w:after="60"/>
        <w:pBdr>
          <w:bottom w:val="single" w:sz="6" w:space="4" w:color="D9D9D9"/>
        </w:pBdr>
      </w:pPr>
      <w:r>
        <w:rPr>
          <w:rFonts w:ascii="Calibri" w:hAnsi="Calibri" w:eastAsia="Malgun Gothic"/>
          <w:b/>
          <w:i w:val="0"/>
          <w:color w:val="1A1A1A"/>
          <w:sz w:val="23"/>
        </w:rPr>
        <w:t>Summary</w:t>
      </w:r>
    </w:p>
    <w:p>
      <w:pPr>
        <w:spacing w:after="160"/>
      </w:pPr>
      <w:r>
        <w:rPr>
          <w:rFonts w:ascii="Calibri" w:hAnsi="Calibri" w:eastAsia="Malgun Gothic"/>
          <w:b w:val="0"/>
          <w:i w:val="0"/>
          <w:color w:val="1A1A1A"/>
          <w:sz w:val="22"/>
        </w:rPr>
        <w:t>I recommend Jinhyun An for your program. Among the participants I supervised he was one of the few who treated the training as a beginning rather than a completion, and I expect him to approach your curriculum the same way.</w:t>
      </w:r>
    </w:p>
    <w:p>
      <w:pPr>
        <w:spacing w:after="120"/>
      </w:pPr>
    </w:p>
    <w:p>
      <w:pPr>
        <w:spacing w:after="360"/>
      </w:pPr>
    </w:p>
    <w:p>
      <w:pPr>
        <w:spacing w:after="40"/>
      </w:pPr>
      <w:r>
        <w:rPr>
          <w:rFonts w:ascii="Calibri" w:hAnsi="Calibri" w:eastAsia="Malgun Gothic"/>
          <w:b w:val="0"/>
          <w:i w:val="0"/>
          <w:color w:val="1A1A1A"/>
          <w:sz w:val="22"/>
        </w:rPr>
        <w:t>_______________________________</w:t>
      </w:r>
    </w:p>
    <w:p>
      <w:pPr>
        <w:spacing w:after="20"/>
      </w:pPr>
      <w:r>
        <w:rPr>
          <w:rFonts w:ascii="Calibri" w:hAnsi="Calibri" w:eastAsia="Malgun Gothic"/>
          <w:b w:val="0"/>
          <w:i w:val="0"/>
          <w:color w:val="1A1A1A"/>
          <w:sz w:val="22"/>
        </w:rPr>
        <w:t>[ Name ]</w:t>
      </w:r>
    </w:p>
    <w:p>
      <w:pPr>
        <w:spacing w:after="20"/>
      </w:pPr>
      <w:r>
        <w:rPr>
          <w:rFonts w:ascii="Calibri" w:hAnsi="Calibri" w:eastAsia="Malgun Gothic"/>
          <w:b w:val="0"/>
          <w:i w:val="0"/>
          <w:color w:val="666666"/>
          <w:sz w:val="20"/>
        </w:rPr>
        <w:t>[ Title ]</w:t>
      </w:r>
    </w:p>
    <w:p>
      <w:pPr>
        <w:spacing w:after="20"/>
      </w:pPr>
      <w:r>
        <w:rPr>
          <w:rFonts w:ascii="Calibri" w:hAnsi="Calibri" w:eastAsia="Malgun Gothic"/>
          <w:b w:val="0"/>
          <w:i w:val="0"/>
          <w:color w:val="666666"/>
          <w:sz w:val="20"/>
        </w:rPr>
        <w:t>[ Organization ]</w:t>
      </w:r>
    </w:p>
    <w:p>
      <w:pPr>
        <w:spacing w:after="0"/>
      </w:pPr>
      <w:r>
        <w:rPr>
          <w:rFonts w:ascii="Calibri" w:hAnsi="Calibri" w:eastAsia="Malgun Gothic"/>
          <w:b w:val="0"/>
          <w:i w:val="0"/>
          <w:color w:val="666666"/>
          <w:sz w:val="20"/>
        </w:rPr>
        <w:t>[ Email ]</w:t>
      </w:r>
    </w:p>
    <w:p>
      <w:r>
        <w:br w:type="page"/>
      </w:r>
    </w:p>
    <w:p>
      <w:pPr>
        <w:spacing w:after="160"/>
        <w:jc w:val="center"/>
        <w:pBdr>
          <w:bottom w:val="single" w:sz="6" w:space="4" w:color="B03020"/>
        </w:pBdr>
      </w:pPr>
      <w:r>
        <w:rPr>
          <w:rFonts w:ascii="Malgun Gothic" w:hAnsi="Malgun Gothic" w:eastAsia="Malgun Gothic"/>
          <w:b/>
          <w:i w:val="0"/>
          <w:color w:val="B03020"/>
          <w:sz w:val="21"/>
        </w:rPr>
        <w:t>▼ 아래는 참고용 해설입니다. 제출 전에 이 페이지를 삭제해 주십시오. ▼</w:t>
      </w:r>
    </w:p>
    <w:p>
      <w:pPr>
        <w:spacing w:after="120"/>
      </w:pPr>
    </w:p>
    <w:p>
      <w:pPr>
        <w:spacing w:after="160"/>
      </w:pPr>
      <w:r>
        <w:rPr>
          <w:rFonts w:ascii="Malgun Gothic" w:hAnsi="Malgun Gothic" w:eastAsia="Malgun Gothic"/>
          <w:b/>
          <w:i w:val="0"/>
          <w:color w:val="1A1A1A"/>
          <w:sz w:val="26"/>
        </w:rPr>
        <w:t>초안 해설</w:t>
      </w:r>
    </w:p>
    <w:p>
      <w:pPr>
        <w:spacing w:after="160"/>
      </w:pPr>
      <w:r>
        <w:rPr>
          <w:rFonts w:ascii="Malgun Gothic" w:hAnsi="Malgun Gothic" w:eastAsia="Malgun Gothic"/>
          <w:b w:val="0"/>
          <w:i w:val="0"/>
          <w:color w:val="334455"/>
          <w:sz w:val="21"/>
        </w:rPr>
        <w:t>이 초안은 '교육 프로그램을 운영한 사람이 코호트 안에서 본 것'을 축으로 씁니다. A와 겹치지 않게 선발과 비교라는 다른 각도를 씁니다.</w:t>
      </w:r>
    </w:p>
    <w:p>
      <w:pPr>
        <w:spacing w:after="160"/>
      </w:pPr>
      <w:r>
        <w:rPr>
          <w:rFonts w:ascii="Malgun Gothic" w:hAnsi="Malgun Gothic" w:eastAsia="Malgun Gothic"/>
          <w:b w:val="0"/>
          <w:i w:val="0"/>
          <w:color w:val="334455"/>
          <w:sz w:val="21"/>
        </w:rPr>
        <w:t>맨 위 블록은 관계와 기간을 표로 정리합니다. 줄글보다 먼저 눈에 들어와서, 심사자가 이 사람이 어떤 자격으로 쓴 글인지 3초 안에 판단합니다. A가 레터헤드에 줄글이라면 B는 이 구조 자체가 다른 사람이 썼다는 신호가 됩니다.</w:t>
      </w:r>
    </w:p>
    <w:p>
      <w:pPr>
        <w:spacing w:after="160"/>
      </w:pPr>
      <w:r>
        <w:rPr>
          <w:rFonts w:ascii="Malgun Gothic" w:hAnsi="Malgun Gothic" w:eastAsia="Malgun Gothic"/>
          <w:b w:val="0"/>
          <w:i w:val="0"/>
          <w:color w:val="334455"/>
          <w:sz w:val="21"/>
        </w:rPr>
        <w:t>'How I know the applicant'에서 선발이라는 사실을 명시합니다. 지원서와 이력서 어디에도 AI 서포터즈 선발과 AI Academy 이수가 들어가 있지 않습니다. 회사가 사람을 골라 교육에 투입했다는 건 본인이 주장할 수 없는 종류의 사실이라, 이 추천서에서만 확인됩니다. 이 프로그램이 추천서를 받는 기준인 '다른 데서 확인되지 않는 정보'가 정확히 이것입니다.</w:t>
      </w:r>
    </w:p>
    <w:p>
      <w:pPr>
        <w:spacing w:after="160"/>
      </w:pPr>
      <w:r>
        <w:rPr>
          <w:rFonts w:ascii="Malgun Gothic" w:hAnsi="Malgun Gothic" w:eastAsia="Malgun Gothic"/>
          <w:b w:val="0"/>
          <w:i w:val="0"/>
          <w:color w:val="334455"/>
          <w:sz w:val="21"/>
        </w:rPr>
        <w:t>'What distinguished him'을 불릿으로 쓴 이유는 비교이기 때문입니다. 코호트 안에서 어떻게 달랐는지를 나열할 때는 줄글보다 항목이 읽힙니다. 세 항목 모두 다른 참가자를 기준점으로 삼고 있습니다. 미국 추천 양식이 상대평가를 묻는 이유가 여기 있습니다.</w:t>
      </w:r>
    </w:p>
    <w:p>
      <w:pPr>
        <w:spacing w:after="160"/>
      </w:pPr>
      <w:r>
        <w:rPr>
          <w:rFonts w:ascii="Malgun Gothic" w:hAnsi="Malgun Gothic" w:eastAsia="Malgun Gothic"/>
          <w:b w:val="0"/>
          <w:i w:val="0"/>
          <w:color w:val="334455"/>
          <w:sz w:val="21"/>
        </w:rPr>
        <w:t>'On his readiness for graduate study'는 이 추천서에서 가장 강한 문단입니다. 석사 과정을 직접 하신 분이 대학원 적합성을 판단한다는 점이 앞에 나옵니다. 그다음에 12년 공백과 비전공이라는 약점을 먼저 인정하고 대응을 붙입니다. 약점을 먼저 말하는 순서를 지켜야 뒤의 옹호가 변명으로 읽히지 않습니다.</w:t>
      </w:r>
    </w:p>
    <w:p>
      <w:pPr>
        <w:spacing w:after="160"/>
      </w:pPr>
      <w:r>
        <w:rPr>
          <w:rFonts w:ascii="Malgun Gothic" w:hAnsi="Malgun Gothic" w:eastAsia="Malgun Gothic"/>
          <w:b w:val="0"/>
          <w:i w:val="0"/>
          <w:color w:val="334455"/>
          <w:sz w:val="21"/>
        </w:rPr>
        <w:t>'Summary'는 짧게 끝냅니다. 앞에서 근거를 다 댔으므로 여기서 형용사를 더하면 오히려 약해집니다.</w:t>
      </w:r>
    </w:p>
    <w:p>
      <w:pPr>
        <w:spacing w:after="160"/>
      </w:pPr>
      <w:r>
        <w:rPr>
          <w:rFonts w:ascii="Malgun Gothic" w:hAnsi="Malgun Gothic" w:eastAsia="Malgun Gothic"/>
          <w:b w:val="0"/>
          <w:i w:val="0"/>
          <w:color w:val="334455"/>
          <w:sz w:val="21"/>
        </w:rPr>
        <w:t>고치실 부분: 선발 인원 규모와 기간을 실제 숫자로 넣으시면 훨씬 구체적이 됩니다. '몇 명 중 몇 명'이 들어가면 상대평가 문항의 등급과 서로 뒷받침합니다. 두 번째 불릿의 질문 사례는 기억나시는 실제 장면으로 바꾸시는 편이 좋습니다. 구체적인 장면 하나가 이 문단 전체를 지탱합니다.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Calibri" w:hAnsi="Calibri" w:eastAsia="Malgun Gothic"/>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