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Malgun Gothic"/>
          <w:b/>
          <w:i w:val="0"/>
          <w:color w:val="1A1A1A"/>
          <w:sz w:val="26"/>
        </w:rPr>
        <w:t>RECOMMENDATION FOR JINHYUN AN</w:t>
      </w:r>
    </w:p>
    <w:p>
      <w:pPr>
        <w:spacing w:after="20"/>
      </w:pPr>
      <w:r>
        <w:rPr>
          <w:rFonts w:ascii="Calibri" w:hAnsi="Calibri" w:eastAsia="Malgun Gothic"/>
          <w:b w:val="0"/>
          <w:i w:val="0"/>
          <w:color w:val="666666"/>
          <w:sz w:val="19"/>
        </w:rPr>
        <w:t>Applicant: Jinhyun An  |  Program: MS in Artificial Intelligence (Online), Spring 2027</w:t>
      </w:r>
    </w:p>
    <w:p>
      <w:pPr>
        <w:spacing w:after="20"/>
      </w:pPr>
      <w:r>
        <w:rPr>
          <w:rFonts w:ascii="Calibri" w:hAnsi="Calibri" w:eastAsia="Malgun Gothic"/>
          <w:b w:val="0"/>
          <w:i w:val="0"/>
          <w:color w:val="666666"/>
          <w:sz w:val="19"/>
        </w:rPr>
        <w:t>Recommender: [Name], AI Education Lead, Data Planning Group</w:t>
      </w:r>
    </w:p>
    <w:p>
      <w:pPr>
        <w:spacing w:after="20"/>
      </w:pPr>
      <w:r>
        <w:rPr>
          <w:rFonts w:ascii="Calibri" w:hAnsi="Calibri" w:eastAsia="Malgun Gothic"/>
          <w:b w:val="0"/>
          <w:i w:val="0"/>
          <w:color w:val="666666"/>
          <w:sz w:val="19"/>
        </w:rPr>
        <w:t>Relationship: Program supervisor  |  Period: First half of 2026</w:t>
      </w:r>
    </w:p>
    <w:p>
      <w:pPr>
        <w:spacing w:after="120"/>
      </w:pPr>
    </w:p>
    <w:p>
      <w:pPr>
        <w:spacing w:after="60"/>
        <w:pBdr>
          <w:bottom w:val="single" w:sz="6" w:space="4" w:color="D9D9D9"/>
        </w:pBdr>
      </w:pPr>
      <w:r>
        <w:rPr>
          <w:rFonts w:ascii="Calibri" w:hAnsi="Calibri" w:eastAsia="Malgun Gothic"/>
          <w:b/>
          <w:i w:val="0"/>
          <w:color w:val="1A1A1A"/>
          <w:sz w:val="23"/>
        </w:rPr>
        <w:t>How I know the applicant</w:t>
      </w:r>
    </w:p>
    <w:p>
      <w:pPr>
        <w:spacing w:after="160"/>
      </w:pPr>
      <w:r>
        <w:rPr>
          <w:rFonts w:ascii="Calibri" w:hAnsi="Calibri" w:eastAsia="Malgun Gothic"/>
          <w:b w:val="0"/>
          <w:i w:val="0"/>
          <w:color w:val="1A1A1A"/>
          <w:sz w:val="22"/>
        </w:rPr>
        <w:t>I design and run our company's internal AI Academy. In the first half of 2026 we selected employees from across the business as AI Supporters, and Jinhyun was one of them. I supervised that program and worked with the participants throughout, so my comments come from watching him alongside the rest of that cohort.</w:t>
      </w:r>
    </w:p>
    <w:p>
      <w:pPr>
        <w:spacing w:after="120"/>
      </w:pPr>
    </w:p>
    <w:p>
      <w:pPr>
        <w:spacing w:after="60"/>
        <w:pBdr>
          <w:bottom w:val="single" w:sz="6" w:space="4" w:color="D9D9D9"/>
        </w:pBdr>
      </w:pPr>
      <w:r>
        <w:rPr>
          <w:rFonts w:ascii="Calibri" w:hAnsi="Calibri" w:eastAsia="Malgun Gothic"/>
          <w:b/>
          <w:i w:val="0"/>
          <w:color w:val="1A1A1A"/>
          <w:sz w:val="23"/>
        </w:rPr>
        <w:t>Coursework and standing in the cohort</w:t>
      </w:r>
    </w:p>
    <w:p>
      <w:pPr>
        <w:pStyle w:val="ListBullet"/>
        <w:spacing w:after="80"/>
        <w:ind w:left="360"/>
      </w:pPr>
      <w:r>
        <w:rPr>
          <w:rFonts w:ascii="Calibri" w:hAnsi="Calibri"/>
          <w:color w:val="1A1A1A"/>
          <w:sz w:val="22"/>
        </w:rPr>
        <w:t>He completed the foundational track: AI service planning with SQL and Tableau in April, Python in May, and data analysis in June. He is continuing through the machine learning and AI agent modules.</w:t>
      </w:r>
    </w:p>
    <w:p>
      <w:pPr>
        <w:pStyle w:val="ListBullet"/>
        <w:spacing w:after="80"/>
        <w:ind w:left="360"/>
      </w:pPr>
      <w:r>
        <w:rPr>
          <w:rFonts w:ascii="Calibri" w:hAnsi="Calibri"/>
          <w:color w:val="1A1A1A"/>
          <w:sz w:val="22"/>
        </w:rPr>
        <w:t>He did not arrive as a beginner. He was already working fluently with tools such as Claude and Codex and had a working foundation in the subjects we were teaching. Most participants were still learning what these tools are.</w:t>
      </w:r>
    </w:p>
    <w:p>
      <w:pPr>
        <w:pStyle w:val="ListBullet"/>
        <w:spacing w:after="80"/>
        <w:ind w:left="360"/>
      </w:pPr>
      <w:r>
        <w:rPr>
          <w:rFonts w:ascii="Calibri" w:hAnsi="Calibri"/>
          <w:color w:val="1A1A1A"/>
          <w:sz w:val="22"/>
        </w:rPr>
        <w:t>His submitted projects, including a retrieval-augmented generation system and an agent system, were among the strongest work produced in the cohort.</w:t>
      </w:r>
    </w:p>
    <w:p>
      <w:pPr>
        <w:spacing w:after="120"/>
      </w:pPr>
    </w:p>
    <w:p>
      <w:pPr>
        <w:spacing w:after="60"/>
        <w:pBdr>
          <w:bottom w:val="single" w:sz="6" w:space="4" w:color="D9D9D9"/>
        </w:pBdr>
      </w:pPr>
      <w:r>
        <w:rPr>
          <w:rFonts w:ascii="Calibri" w:hAnsi="Calibri" w:eastAsia="Malgun Gothic"/>
          <w:b/>
          <w:i w:val="0"/>
          <w:color w:val="1A1A1A"/>
          <w:sz w:val="23"/>
        </w:rPr>
        <w:t>What I have seen since</w:t>
      </w:r>
    </w:p>
    <w:p>
      <w:pPr>
        <w:spacing w:after="160"/>
      </w:pPr>
      <w:r>
        <w:rPr>
          <w:rFonts w:ascii="Calibri" w:hAnsi="Calibri" w:eastAsia="Malgun Gothic"/>
          <w:b w:val="0"/>
          <w:i w:val="0"/>
          <w:color w:val="1A1A1A"/>
          <w:sz w:val="22"/>
        </w:rPr>
        <w:t>We have continued to exchange notes on agent cooperation and orchestration since the program ended. He recently shared a write-up on how he runs parallel agent sessions in his own workflow, which is not something I asked him to produce. Training programs usually end when the sessions end. His did not, and that is the clearest thing I can say about him.</w:t>
      </w:r>
    </w:p>
    <w:p>
      <w:pPr>
        <w:spacing w:after="120"/>
      </w:pPr>
    </w:p>
    <w:p>
      <w:pPr>
        <w:spacing w:after="60"/>
        <w:pBdr>
          <w:bottom w:val="single" w:sz="6" w:space="4" w:color="D9D9D9"/>
        </w:pBdr>
      </w:pPr>
      <w:r>
        <w:rPr>
          <w:rFonts w:ascii="Calibri" w:hAnsi="Calibri" w:eastAsia="Malgun Gothic"/>
          <w:b/>
          <w:i w:val="0"/>
          <w:color w:val="1A1A1A"/>
          <w:sz w:val="23"/>
        </w:rPr>
        <w:t>On his readiness for graduate study</w:t>
      </w:r>
    </w:p>
    <w:p>
      <w:pPr>
        <w:spacing w:after="160"/>
      </w:pPr>
      <w:r>
        <w:rPr>
          <w:rFonts w:ascii="Calibri" w:hAnsi="Calibri" w:eastAsia="Malgun Gothic"/>
          <w:b w:val="0"/>
          <w:i w:val="0"/>
          <w:color w:val="1A1A1A"/>
          <w:sz w:val="22"/>
        </w:rPr>
        <w:t>I completed a master's degree in a data-related field myself, so I have some basis for judging this. Graduate work rewards people who are uncomfortable using something they cannot explain, and that is the disposition I saw in him throughout the program. He has been away from university for twelve years and his degree is in mechanical and control engineering, which is a real gap. He has been addressing it since April with university coursework in data structures and algorithms, without waiting for an admission decision.</w:t>
      </w:r>
    </w:p>
    <w:p>
      <w:pPr>
        <w:spacing w:after="120"/>
      </w:pPr>
    </w:p>
    <w:p>
      <w:pPr>
        <w:spacing w:after="60"/>
        <w:pBdr>
          <w:bottom w:val="single" w:sz="6" w:space="4" w:color="D9D9D9"/>
        </w:pBdr>
      </w:pPr>
      <w:r>
        <w:rPr>
          <w:rFonts w:ascii="Calibri" w:hAnsi="Calibri" w:eastAsia="Malgun Gothic"/>
          <w:b/>
          <w:i w:val="0"/>
          <w:color w:val="1A1A1A"/>
          <w:sz w:val="23"/>
        </w:rPr>
        <w:t>Summary</w:t>
      </w:r>
    </w:p>
    <w:p>
      <w:pPr>
        <w:spacing w:after="160"/>
      </w:pPr>
      <w:r>
        <w:rPr>
          <w:rFonts w:ascii="Calibri" w:hAnsi="Calibri" w:eastAsia="Malgun Gothic"/>
          <w:b w:val="0"/>
          <w:i w:val="0"/>
          <w:color w:val="1A1A1A"/>
          <w:sz w:val="22"/>
        </w:rPr>
        <w:t>I recommend Jinhyun An for your program. Among the participants I supervised he was one of the very few who treated the training as a starting point rather than a completion, and I expect him to approach your curriculum the same way.</w:t>
      </w:r>
    </w:p>
    <w:p>
      <w:pPr>
        <w:spacing w:after="120"/>
      </w:pPr>
    </w:p>
    <w:p>
      <w:pPr>
        <w:spacing w:after="360"/>
      </w:pPr>
    </w:p>
    <w:p>
      <w:pPr>
        <w:spacing w:after="40"/>
      </w:pPr>
      <w:r>
        <w:rPr>
          <w:rFonts w:ascii="Calibri" w:hAnsi="Calibri" w:eastAsia="Malgun Gothic"/>
          <w:b w:val="0"/>
          <w:i w:val="0"/>
          <w:color w:val="1A1A1A"/>
          <w:sz w:val="22"/>
        </w:rPr>
        <w:t>_______________________________</w:t>
      </w:r>
    </w:p>
    <w:p>
      <w:pPr>
        <w:spacing w:after="20"/>
      </w:pPr>
      <w:r>
        <w:rPr>
          <w:rFonts w:ascii="Calibri" w:hAnsi="Calibri" w:eastAsia="Malgun Gothic"/>
          <w:b w:val="0"/>
          <w:i w:val="0"/>
          <w:color w:val="1A1A1A"/>
          <w:sz w:val="22"/>
        </w:rPr>
        <w:t>[ Name ]</w:t>
      </w:r>
    </w:p>
    <w:p>
      <w:pPr>
        <w:spacing w:after="20"/>
      </w:pPr>
      <w:r>
        <w:rPr>
          <w:rFonts w:ascii="Calibri" w:hAnsi="Calibri" w:eastAsia="Malgun Gothic"/>
          <w:b w:val="0"/>
          <w:i w:val="0"/>
          <w:color w:val="666666"/>
          <w:sz w:val="20"/>
        </w:rPr>
        <w:t>[ Title ]</w:t>
      </w:r>
    </w:p>
    <w:p>
      <w:pPr>
        <w:spacing w:after="20"/>
      </w:pPr>
      <w:r>
        <w:rPr>
          <w:rFonts w:ascii="Calibri" w:hAnsi="Calibri" w:eastAsia="Malgun Gothic"/>
          <w:b w:val="0"/>
          <w:i w:val="0"/>
          <w:color w:val="666666"/>
          <w:sz w:val="20"/>
        </w:rPr>
        <w:t>[ Organization ]</w:t>
      </w:r>
    </w:p>
    <w:p>
      <w:pPr>
        <w:spacing w:after="0"/>
      </w:pPr>
      <w:r>
        <w:rPr>
          <w:rFonts w:ascii="Calibri" w:hAnsi="Calibri" w:eastAsia="Malgun Gothic"/>
          <w:b w:val="0"/>
          <w:i w:val="0"/>
          <w:color w:val="666666"/>
          <w:sz w:val="20"/>
        </w:rPr>
        <w:t>[ Email ]</w:t>
      </w:r>
    </w:p>
    <w:p>
      <w:r>
        <w:br w:type="page"/>
      </w:r>
    </w:p>
    <w:p>
      <w:pPr>
        <w:spacing w:after="160"/>
        <w:jc w:val="center"/>
        <w:pBdr>
          <w:bottom w:val="single" w:sz="6" w:space="4" w:color="B03020"/>
        </w:pBdr>
      </w:pPr>
      <w:r>
        <w:rPr>
          <w:rFonts w:ascii="Malgun Gothic" w:hAnsi="Malgun Gothic" w:eastAsia="Malgun Gothic"/>
          <w:b/>
          <w:i w:val="0"/>
          <w:color w:val="B03020"/>
          <w:sz w:val="21"/>
        </w:rPr>
        <w:t>▼ 아래는 참고용 해설입니다. 제출 전에 이 페이지를 삭제해 주십시오. ▼</w:t>
      </w:r>
    </w:p>
    <w:p>
      <w:pPr>
        <w:spacing w:after="120"/>
      </w:pPr>
    </w:p>
    <w:p>
      <w:pPr>
        <w:spacing w:after="160"/>
      </w:pPr>
      <w:r>
        <w:rPr>
          <w:rFonts w:ascii="Malgun Gothic" w:hAnsi="Malgun Gothic" w:eastAsia="Malgun Gothic"/>
          <w:b/>
          <w:i w:val="0"/>
          <w:color w:val="1A1A1A"/>
          <w:sz w:val="26"/>
        </w:rPr>
        <w:t>초안 해설</w:t>
      </w:r>
    </w:p>
    <w:p>
      <w:pPr>
        <w:spacing w:after="160"/>
      </w:pPr>
      <w:r>
        <w:rPr>
          <w:rFonts w:ascii="Malgun Gothic" w:hAnsi="Malgun Gothic" w:eastAsia="Malgun Gothic"/>
          <w:b w:val="0"/>
          <w:i w:val="0"/>
          <w:color w:val="334455"/>
          <w:sz w:val="21"/>
        </w:rPr>
        <w:t>이 초안은 '교육 프로그램을 운영한 사람이 코호트 안에서 본 것'을 축으로 씁니다. A와 겹치지 않게 선발·수강 이력·상대 비교라는 다른 각도를 씁니다.</w:t>
      </w:r>
    </w:p>
    <w:p>
      <w:pPr>
        <w:spacing w:after="160"/>
      </w:pPr>
      <w:r>
        <w:rPr>
          <w:rFonts w:ascii="Malgun Gothic" w:hAnsi="Malgun Gothic" w:eastAsia="Malgun Gothic"/>
          <w:b w:val="0"/>
          <w:i w:val="0"/>
          <w:color w:val="334455"/>
          <w:sz w:val="21"/>
        </w:rPr>
        <w:t>맨 위 블록은 관계와 기간을 표로 정리합니다. 줄글보다 먼저 눈에 들어와서, 심사자가 이 사람이 어떤 자격으로 쓴 글인지 몇 초 안에 판단합니다. A가 레터헤드에 줄글이라면 B는 이 구조 자체가 다른 사람이 썼다는 신호가 됩니다.</w:t>
      </w:r>
    </w:p>
    <w:p>
      <w:pPr>
        <w:spacing w:after="160"/>
      </w:pPr>
      <w:r>
        <w:rPr>
          <w:rFonts w:ascii="Malgun Gothic" w:hAnsi="Malgun Gothic" w:eastAsia="Malgun Gothic"/>
          <w:b w:val="0"/>
          <w:i w:val="0"/>
          <w:color w:val="334455"/>
          <w:sz w:val="21"/>
        </w:rPr>
        <w:t>'How I know the applicant'에서 선발 사실을 명시합니다. AI 서포터즈 선발과 AI Academy 이수는 지원서와 이력서 어디에도 없습니다. 회사가 사람을 골라 교육에 투입했다는 건 본인이 주장할 수 없는 종류의 사실이라, 이 추천서에서만 확인됩니다. 이 프로그램이 추천서를 받는 기준인 '다른 데서 확인되지 않는 정보'가 정확히 이것입니다.</w:t>
      </w:r>
    </w:p>
    <w:p>
      <w:pPr>
        <w:spacing w:after="160"/>
      </w:pPr>
      <w:r>
        <w:rPr>
          <w:rFonts w:ascii="Malgun Gothic" w:hAnsi="Malgun Gothic" w:eastAsia="Malgun Gothic"/>
          <w:b w:val="0"/>
          <w:i w:val="0"/>
          <w:color w:val="334455"/>
          <w:sz w:val="21"/>
        </w:rPr>
        <w:t>'Coursework and standing in the cohort'에 실제 수강 이력을 넣었습니다. 4월 AI서비스기획·SQL·Tableau, 5월 파이썬, 6월 데이터분석까지 이수했고 머신러닝과 AI Agent는 진행 중이라고 썼습니다. 진행 중인 과목을 이수했다고 쓰지 않은 이유는, 사실과 다른 한 줄이 나머지 문장의 신뢰까지 깎기 때문입니다. 두 번째 불릿의 '초보자로 들어온 것이 아니었다'가 이 문단의 핵심입니다. 같은 과정을 들었어도 출발점이 달랐다는 사실이 상대평가 문항의 등급을 뒷받침합니다.</w:t>
      </w:r>
    </w:p>
    <w:p>
      <w:pPr>
        <w:spacing w:after="160"/>
      </w:pPr>
      <w:r>
        <w:rPr>
          <w:rFonts w:ascii="Malgun Gothic" w:hAnsi="Malgun Gothic" w:eastAsia="Malgun Gothic"/>
          <w:b w:val="0"/>
          <w:i w:val="0"/>
          <w:color w:val="334455"/>
          <w:sz w:val="21"/>
        </w:rPr>
        <w:t>'What I have seen since'는 이 추천서에서 가장 강한 문단입니다. 과정이 끝난 뒤에도 에이전트 협업에 대해 계속 논의하고 있고, 요청하지 않았는데 자료를 만들어 공유했다는 사실을 씁니다. 마지막 문장을 짧게 끊은 것은 의도한 것입니다. 앞에서 사실을 다 댔으므로 형용사를 더할 필요가 없습니다.</w:t>
      </w:r>
    </w:p>
    <w:p>
      <w:pPr>
        <w:spacing w:after="160"/>
      </w:pPr>
      <w:r>
        <w:rPr>
          <w:rFonts w:ascii="Malgun Gothic" w:hAnsi="Malgun Gothic" w:eastAsia="Malgun Gothic"/>
          <w:b w:val="0"/>
          <w:i w:val="0"/>
          <w:color w:val="334455"/>
          <w:sz w:val="21"/>
        </w:rPr>
        <w:t>'On his readiness for graduate study'는 석사 과정을 직접 하신 분의 판단이라는 점을 앞에 둡니다. 그다음 12년 공백과 비전공이라는 약점을 먼저 인정하고 대응을 붙입니다. 약점을 먼저 말하는 순서를 지켜야 뒤의 옹호가 변명으로 읽히지 않습니다.</w:t>
      </w:r>
    </w:p>
    <w:p>
      <w:pPr>
        <w:spacing w:after="160"/>
      </w:pPr>
      <w:r>
        <w:rPr>
          <w:rFonts w:ascii="Malgun Gothic" w:hAnsi="Malgun Gothic" w:eastAsia="Malgun Gothic"/>
          <w:b w:val="0"/>
          <w:i w:val="0"/>
          <w:color w:val="334455"/>
          <w:sz w:val="21"/>
        </w:rPr>
        <w:t>고치실 부분: 선발 인원 규모를 실제 숫자로 넣으시면 훨씬 구체적이 됩니다. '몇 명 중 몇 명'이 들어가면 상대평가 문항의 등급과 서로 뒷받침합니다. 제출 프로젝트의 실제 명칭이나 주제를 아신다면 그것으로 바꾸시는 편이 좋습니다.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Calibri" w:hAnsi="Calibri" w:eastAsia="Malgun Gothic"/>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