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F4E5F"/>
          <w:sz w:val="56"/>
          <w:szCs w:val="56"/>
        </w:rPr>
        <w:t xml:space="preserve">稻生万物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38"/>
          <w:szCs w:val="38"/>
        </w:rPr>
        <w:t xml:space="preserve">能力中心与渠道中心建设规划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谷千禾研产销一体化产业园 · 上海临港新片区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投资人版 · 2026 年 8 月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阅读须知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 · 本规划的建设主体是谷千禾 / 稻生万物。能力中心为自建，资产与数据归属谷千禾。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 · 技术平台为对外引入并集成，非谷千禾自主研发。此点在尽调中必须如实陈述。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 · 所有效果类指标标注为「待实测」——现状基线（良品率 / OEE / 能耗 / 认证周期）尚未采集，此时给出承诺值等于给出无依据的承诺。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 · 预算为区间估算，测算依据与出处见附录 B。凡未取得报价者标注「需询价」，不以估值代替报价。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一 · 摘要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稻生万物以稻壳生物基复合材料为核心，在上海临港建设研产销一体化产业园。园区模式成立的前提，是自身积累的经验能够规模化输出给下游入驻企业——否则「链主赋能」只是一个说法，不是一门生意。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本规划提出建设两个常设中心：能力中心把企业隐性知识持续转化为可调用能力，渠道中心把这些能力与园区资源转化为实际的入驻、订单与收入。两者一个造、一个卖，缺任何一个另一个都不成立。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1.1 两个中心的分工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370"/>
        <w:gridCol w:w="4305"/>
      </w:tblGrid>
      <w:tr>
        <w:trPr>
          <w:tblHeader/>
        </w:trPr>
        <w:tc>
          <w:tcPr>
            <w:tcW w:type="dxa" w:w="1685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7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能力中心</w:t>
            </w:r>
          </w:p>
        </w:tc>
        <w:tc>
          <w:tcPr>
            <w:tcW w:type="dxa" w:w="4305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渠道中心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职责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把隐性知识变成可调用能力；建设并运营 AI Native 技术底座；沉淀知识资产</w:t>
            </w:r>
          </w:p>
        </w:tc>
        <w:tc>
          <w:tcPr>
            <w:tcW w:type="dxa" w:w="43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政府关系、合作伙伴、渠道销售；把能力与产业资源变成入驻、订单与收入</w:t>
            </w:r>
          </w:p>
        </w:tc>
      </w:tr>
      <w:tr>
        <w:tc>
          <w:tcPr>
            <w:tcW w:type="dxa" w:w="168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考核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知识被凝固了多少、能力可用性、资产沉淀量</w:t>
            </w:r>
          </w:p>
        </w:tc>
        <w:tc>
          <w:tcPr>
            <w:tcW w:type="dxa" w:w="430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入驻企业数、订单额、能力订阅收入、政策资源获取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峰值编制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 人</w:t>
            </w:r>
          </w:p>
        </w:tc>
        <w:tc>
          <w:tcPr>
            <w:tcW w:type="dxa" w:w="43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 人</w:t>
            </w:r>
          </w:p>
        </w:tc>
      </w:tr>
      <w:tr>
        <w:tc>
          <w:tcPr>
            <w:tcW w:type="dxa" w:w="168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三年投入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1,130–1,860 万</w:t>
            </w:r>
          </w:p>
        </w:tc>
        <w:tc>
          <w:tcPr>
            <w:tcW w:type="dxa" w:w="430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680–1,150 万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为什么必须分设，不能合并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两者的考核方式互斥：能力中心的产出要一到两年才显形，渠道中心的产出按季度计。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合在一个部门里，短期收入压力必然挤掉长期知识建设——这是同类项目最常见的失败方式，且失败时看起来一切正常（收入达标了，只是知识没沉淀下来）。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分设的代价是要多设一个负责人岗位；不分设的代价是三年后发现能力中心只是个做 PPT 的部门。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1.2 三句话说清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86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建什么</w:t>
            </w:r>
          </w:p>
        </w:tc>
        <w:tc>
          <w:tcPr>
            <w:tcW w:type="dxa" w:w="7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能力中心：3→12 人，运营一套引入并集成的 AI Native 技术底座，产出四类可调用能力（研发 / 生产 / 合规客户 / 园区）与一批结构化知识资产。渠道中心：1.5→6 人，承接政府关系、合作伙伴与渠道销售。</w:t>
            </w:r>
          </w:p>
        </w:tc>
      </w:tr>
      <w:tr>
        <w:tc>
          <w:tcPr>
            <w:tcW w:type="dxa" w:w="149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为什么</w:t>
            </w:r>
          </w:p>
        </w:tc>
        <w:tc>
          <w:tcPr>
            <w:tcW w:type="dxa" w:w="786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核心资产是隐性知识——配方经验、调参手感、认证踩坑、客户对接。传统信息化要求人先把知识填成表单，而人不愿填也填不完整；园区模式又要求这些经验能被下游复用。能力中心把顺序反过来：不要求把知识翻译成结构化表单，只要求把已经在做的事完整演示一遍，由系统凝固为可复用能力。演示是一次性的，之后复用零成本。而知识变成收入需要另一套人和另一套打法，那是渠道中心。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值多少</w:t>
            </w:r>
          </w:p>
        </w:tc>
        <w:tc>
          <w:tcPr>
            <w:tcW w:type="dxa" w:w="7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两个中心三年投入合计约 1,810–3,010 万元，中位约 2,400 万（不含平台采购与产线侧投资）。回报分两段：对内是研发与认证周期的压缩，对外是阶段三起对入驻企业的能力订阅与服务收入。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1.3 分三阶段，每阶段单独可停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这一点对投资决策比总额更重要：三个阶段各有独立可用的交付物，任一阶段结束时停止，已投入部分不作废。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123"/>
        <w:gridCol w:w="3557"/>
        <w:gridCol w:w="1872"/>
        <w:gridCol w:w="1872"/>
      </w:tblGrid>
      <w:tr>
        <w:trPr>
          <w:tblHeader/>
        </w:trPr>
        <w:tc>
          <w:tcPr>
            <w:tcW w:type="dxa" w:w="93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12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3557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做什么</w:t>
            </w:r>
          </w:p>
        </w:tc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投入区间（双中心）</w:t>
            </w:r>
          </w:p>
        </w:tc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停在这里也能用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0–6 个月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能力中心：认证智能体 + 招商智能体，零硬件依赖，验证「知识能否被凝固」。渠道中心：政府关系建线、合作伙伴梳理。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142–233 万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认证材料准备提速；政策与合作资源摸清</w:t>
            </w:r>
          </w:p>
        </w:tc>
      </w:tr>
      <w:tr>
        <w:tc>
          <w:tcPr>
            <w:tcW w:type="dxa" w:w="93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6–18 个月</w:t>
            </w:r>
          </w:p>
        </w:tc>
        <w:tc>
          <w:tcPr>
            <w:tcW w:type="dxa" w:w="355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能力中心：研发 + 生产智能体，接入产线。渠道中心：渠道销售建线，招商智能体投入实用。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579–966 万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研发数据结构化、生产异常归因、招商线索池</w:t>
            </w:r>
          </w:p>
        </w:tc>
      </w:tr>
      <w:tr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18–36 个月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能力中心：园区智能体对下游开放。渠道中心：能力订阅与服务的销售，形成收入。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1,093–1,809 万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对入驻企业的能力订阅与服务收入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为什么阶段一不碰产线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现在连点位表都没有——服务器按什么规格买、数据接哪些点、频率多少，全都无从判断。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而研发数据结构化、认证档案入库这两件事不依赖产线，今天就可以启动。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先做不依赖硬件的部分，既能最早拿到反馈，又能在阶段二采购前把用量摸清。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二 · 为什么必须自建，而不是买服务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这是投资决策里最该被追问的一条。如果买一套软件、或把活外包出去就能解决，那么建团队、建底座就是浪费。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2.1 三个买不到的东西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其一 · 隐性知识不在文档里，在过程里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方经验、老师傅的调参手感、四大国际认证踩过的坑、品牌客户对接的分寸——这些构成企业真正的护城河，但它们从未被写下来。任何采购来的系统都要求人先把知识填成结构化表单才能管理，而现实是人不愿填、也填不完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力中心的做法不是让人去填表，而是让人把已经在做的事（准备申报材料、调工艺参数、对接客户）**完整演示一遍**，由系统凝固成可复用的能力。演示时人可以直接标出哪些是变量、哪些是固定值，也可以口述判断依据——这些恰恰是表单里填不进去的部分。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这里的口径要说准，不能说成「什么都不用做」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演示需要业务专家主动投入时间，不是「人照常工作、系统自动学会」。两者差别很大，说错了是交付时的预期管理事故。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准确的对比对象是「填表单」：填表单要求人把经验翻译成结构化字段——人不会翻译，也不愿意翻译；演示只要求把本来就会做的事做一遍。后者的门槛低得多，但不是零。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这也意味着「业务专家投入」不是配合事项，而是这套方案成立的前提条件。相应的工时安排见 5.2。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其二 · 园区赋能需要的是能力开放，不是账号开放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链主赋能常见的做法，是把自己的系统开个账号给下游用。这条路走不通：下游企业的产品、工艺、客户都不一样，用同一套表单和流程只会互相将就。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能力开放不同——下游用自然语言提出问题，由能力中心的智能体调用园区沉淀的知识给出答案，各自的数据互相隔离。这需要一层持续演进的能力编排，不是一次性交付的软件。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其三 · 沉淀下来的资产归谁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库、被凝固的可复用能力、结构化的工艺与认证档案——这些是能力中心真正的产出物，也是能进入估值的资产。若全部依托外部服务商的平台账户存在，企业换供应商时会一并失去。自建的核心，是让这批资产长在自己名下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2.2 自建的边界：什么自己做，什么不做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自建不等于什么都自己造。下面这条线必须清楚，否则预算会失控，尽调也会出问题。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246"/>
        <w:gridCol w:w="4680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224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谁做</w:t>
            </w:r>
          </w:p>
        </w:tc>
        <w:tc>
          <w:tcPr>
            <w:tcW w:type="dxa" w:w="468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技术平台（智能体运行时 / 工具链 / 知识库 / 模型路由 / 审计）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对外引入并集成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已有成熟平台，自研是重复造轮子，且三年内追不上迭代速度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智能体开发与能力实现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外包给平台方</w:t>
            </w:r>
          </w:p>
        </w:tc>
        <w:tc>
          <w:tcPr>
            <w:tcW w:type="dxa" w:w="468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与平台同源交付，避免「平台一家、应用另一家」的责任真空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业务知识的提取、结构化与验收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自建团队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即使开发外包，「知识说清楚」和「交付对不对」这两件事仍留在内部——外包方不知道哪条工艺经验是关键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数据接入规范（点位、频率、时间戳）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自建团队定义</w:t>
            </w:r>
          </w:p>
        </w:tc>
        <w:tc>
          <w:tcPr>
            <w:tcW w:type="dxa" w:w="468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规范一并交出去的结果是「数据接进来但不能用」，返工代价仍由上层承担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产线设备、边缘部署、视觉质检成套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设备供应商与系统集成商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现场零部署，车间侧不部署自有组件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计算化学模拟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高校院所或专业机构</w:t>
            </w:r>
          </w:p>
        </w:tc>
        <w:tc>
          <w:tcPr>
            <w:tcW w:type="dxa" w:w="468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能力中心负责结果的结构化入库与实验数据关联验证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模型训练底座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不做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使用开源模型自部署，不做预训练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尽调红线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技术平台系对外引入并集成，谷千禾在任何对外场合均不得陈述为「自主研发」。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此点与「方案文本中不出现供应商名称」性质完全不同——后者是正常商业惯例，前者在尽调中属实质性失实陈述。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建议在投资协议的陈述与保证条款中，对平台来源与知识产权归属作明确表述。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三 · 能力中心是什么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能力中心由三部分构成，缺一不可。只买底座没有人，是一套没人喂的系统；只有人没有底座，是一个做 PPT 的部门。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构成</w:t>
            </w:r>
          </w:p>
        </w:tc>
        <w:tc>
          <w:tcPr>
            <w:tcW w:type="dxa" w:w="748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技术底座</w:t>
            </w:r>
          </w:p>
        </w:tc>
        <w:tc>
          <w:tcPr>
            <w:tcW w:type="dxa" w:w="74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Native 四层架构（交互层 / 智能体编排层 / 能力与知识层 / 数据语义层）。对外引入并集成，非自研。</w:t>
            </w:r>
          </w:p>
        </w:tc>
      </w:tr>
      <w:tr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常设团队</w:t>
            </w:r>
          </w:p>
        </w:tc>
        <w:tc>
          <w:tcPr>
            <w:tcW w:type="dxa" w:w="748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 人起步，峰值 10–12 人。核心职责是把业务知识转化为系统能力，而非日常运维。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知识资产</w:t>
            </w:r>
          </w:p>
        </w:tc>
        <w:tc>
          <w:tcPr>
            <w:tcW w:type="dxa" w:w="74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工艺与配方知识库、认证要求库、产业链与企业库、被凝固的可复用能力。这是唯一会随时间增值的部分。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3.1 技术底座：为什么是 AI Native，不是「系统 + AI 功能」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两者的差别不在有没有用大模型，而在骨架。传统信息化的骨架是「模块」——进销存、MES、PLM，各管一段，AI 作为附加功能挂在旁边。AI Native 的骨架是「意图 → 分解 → 调用能力 → 人在回路 → 交付」，模块退化为可被调用的能力。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对本项目而言，这个差别决定了知识能否流动。传统架构下，工艺知识锁在 MES 里、认证知识锁在文档系统里、客户知识锁在 CRM 里，跨系统的问题没人能答。AI Native 架构下它们是同一层能力，「这批缺陷是哪个工艺参数导致的、跟哪一批原料相关、会不会影响正在申报的那个认证」这类问题才问得出口。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3.2 四类能力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931"/>
        <w:gridCol w:w="3744"/>
      </w:tblGrid>
      <w:tr>
        <w:trPr>
          <w:tblHeader/>
        </w:trPr>
        <w:tc>
          <w:tcPr>
            <w:tcW w:type="dxa" w:w="1685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能力</w:t>
            </w:r>
          </w:p>
        </w:tc>
        <w:tc>
          <w:tcPr>
            <w:tcW w:type="dxa" w:w="3931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解决什么</w:t>
            </w:r>
          </w:p>
        </w:tc>
        <w:tc>
          <w:tcPr>
            <w:tcW w:type="dxa" w:w="374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合规与客户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认证与客户要求本质是「读文件、比对、组材料」。四个市场十余项认证的要求文档结构化后，材料清单可自动生成、申报书可出草稿、法规变更可自动监测。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</w:t>
            </w:r>
          </w:p>
        </w:tc>
      </w:tr>
      <w:tr>
        <w:tc>
          <w:tcPr>
            <w:tcW w:type="dxa" w:w="168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园区招商</w:t>
            </w:r>
          </w:p>
        </w:tc>
        <w:tc>
          <w:tcPr>
            <w:tcW w:type="dxa" w:w="393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产业链缺口分析、目标企业匹配、入驻服务预测。依赖企业库数据，无硬件依赖。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研发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不要求研发人员改变记录习惯，从他们本来在做的事里提取知识；对接外部计算化学结果的入库与验证。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</w:t>
            </w:r>
          </w:p>
        </w:tc>
      </w:tr>
      <w:tr>
        <w:tc>
          <w:tcPr>
            <w:tcW w:type="dxa" w:w="168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生产</w:t>
            </w:r>
          </w:p>
        </w:tc>
        <w:tc>
          <w:tcPr>
            <w:tcW w:type="dxa" w:w="393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不是让人查报表，而是持续观察、归因、给建议。核心价值在「缺陷 ↔ 工艺参数 ↔ 原料特性」的关联归因——这件事目前没人做，且只有拿到全量数据才做得了。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园区赋能</w:t>
            </w:r>
          </w:p>
        </w:tc>
        <w:tc>
          <w:tcPr>
            <w:tcW w:type="dxa" w:w="39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把能力而非账号开放给下游入驻企业，各企业数据隔离。这是能力中心从成本转向收入的接点。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3.3 明确不做的六件事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边界写在前面，是为了让指标和预算可信。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不做无人干预的自动调参——工艺窗口窄，误调代价不对称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不进产线实时控制回路——毫秒级响应与安全联锁归 PLC / DCS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不做质检最终裁决——判定标准的解释权在质量部门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不代替人对外承诺——智能体只出草稿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不做黑箱回答——工艺与合规类答案须附出处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不承诺无数据支撑的效果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四 · 分阶段建设方案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4.1 阶段一（0–6 个月）· 验证知识能否被凝固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阶段一只做两件不依赖硬件的事：认证智能体与招商智能体。选它们不是因为容易，而是因为它们能在最短时间内回答一个决定后续全部投入的问题——企业的隐性知识究竟能不能被系统提取并复用。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374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产出</w:t>
            </w:r>
          </w:p>
        </w:tc>
        <w:tc>
          <w:tcPr>
            <w:tcW w:type="dxa" w:w="430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M1（1–2 月）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认证知识库建成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四个市场的认证要求可检索，检索准确率人工抽检不低于 90%</w:t>
            </w:r>
          </w:p>
        </w:tc>
      </w:tr>
      <w:tr>
        <w:tc>
          <w:tcPr>
            <w:tcW w:type="dxa" w:w="131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M2（2–3 月）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材料清单生成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给定配方与目标市场，清单完整性人工核对不低于 90%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M3（3–4 月）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申报书草稿生成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草稿的人工修改量不高于 30%（对比从零撰写）</w:t>
            </w:r>
          </w:p>
        </w:tc>
      </w:tr>
      <w:tr>
        <w:tc>
          <w:tcPr>
            <w:tcW w:type="dxa" w:w="131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M4（4–5 月）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法规变更监测上线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连续四周监测无漏报（人工双轨验证）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M5（5–6 月）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认证问答对入驻企业开放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权限隔离测试通过，无内部数据泄漏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数据准备工作量（阶段一的主要人力去向）：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认证要求知识库约 10 份要求文档结构化（4 个市场 × 2–3 项认证）；产品档案库按配方数量，每配方 5–8 份文件归档；历史申报书样本 4–8 份（已有，只需归集）；法规源清单约 10 个官方站点。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4.2 阶段二（6–18 个月）· 接入产线，打通归因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阶段二的前提是点位表——它既是数字化的第一份交付物，也是基础设施概算的输入。没有它，服务器与存储的采购规格无从判断。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研发智能体：实验记录与工艺文件的结构化入库；对接外部计算化学结果，解决「算完了留不下」的问题（请高校做课题，报告交了，数据散在学生电脑里，下次重算）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生产智能体：接入设备数据与视觉质检厂商的判定结果，做「缺陷 ↔ 工艺参数 ↔ 原料特性」的关联归因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数据接入规范由能力中心定义，集成商实现，双方联调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基础设施第一次评估：用量摸清后，判断哪些负载可迁本地、哪些留在云上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阶段二的架构缺口，须在启动前解决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生产场景是产线 7×24、OT 与 IT 隔离、有实时性要求的运行环境。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当前引入的平台形态为桌面侧智能体，产线常驻需要边缘节点，属架构级新增而非配置调整。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这个缺口的补法（由平台方提供、由集成商承接、或纳入自建范围）必须在阶段二立项前定清楚，否则生产智能体的可用性承诺没有依托。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4.3 阶段三（18–36 个月）· 对下游开放，转向收入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前两个阶段能力中心是成本中心，阶段三是它成为业务单元的节点。园区智能体把沉淀的能力对入驻企业开放，按能力订阅收费。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阶段的成败不取决于技术，取决于三件必须由谷千禾在阶段二结束前定清楚的业务决策：配方保密的分级（哪些可对下游开放、开到什么颗粒度）、客户资源对下游的开放方式（商务与法律问题，系统只执行）、入驻企业的数据隔离方案（须写入入驻协议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五 · 组织与团队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5.1 组织形态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建议设两个直属管理层的独立部门，平级。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能力中心不是 IT 部门。IT 部门的职责是让系统稳定运行，能力中心的职责是把业务知识变成系统能力——所需的人不同，考核方式也不同。并入 IT 的结果是退化为运维。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渠道中心不是销售部。销售部卖已有的产品，渠道中心要同时经营政府关系、合作伙伴生态和渠道网络三条线，其中前两条在三年内很难用订单额衡量。挂在销售体系下的结果是政府关系和生态建设被当成成本砍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5.2 能力中心编制与节奏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编制已按「基座与智能体全部外包」调整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开发外包后，能力中心不再需要一支写智能体的工程队伍，AI 应用工程师由 4 人降为 0。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但有两个岗位反而更重：一是产品与外包管理——需求定不清、验收标准立不住，外包交付必然走样；二是基础设施运维——自持算力设备后，这个岗位从阶段二提前到阶段一，且阶段三需双人轮值。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代价要写明：开发外包意味着「知识如何被凝固成能力」这件事的实现方式掌握在外包方手里。第二章论证的隐性知识提取，其中「知识说清楚」仍在内部，但「知识变成能力」的工艺在外部。更换供应商时，这部分要重做。9.3 的退出机制条款因此比自建模式更关键。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123"/>
        <w:gridCol w:w="1123"/>
        <w:gridCol w:w="1123"/>
        <w:gridCol w:w="3557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112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阶段一</w:t>
            </w:r>
          </w:p>
        </w:tc>
        <w:tc>
          <w:tcPr>
            <w:tcW w:type="dxa" w:w="112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阶段二</w:t>
            </w:r>
          </w:p>
        </w:tc>
        <w:tc>
          <w:tcPr>
            <w:tcW w:type="dxa" w:w="112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阶段三</w:t>
            </w:r>
          </w:p>
        </w:tc>
        <w:tc>
          <w:tcPr>
            <w:tcW w:type="dxa" w:w="3557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职责要点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能力中心负责人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既懂业务又能判断技术可行性。开发外包后，这个岗位的重心从带队转为定方向与判交付质量。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产品与外包管理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55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外包模式下的核心岗。把业务需求翻译成可验收的规格，管交付节奏与质量，守住知识资产的归属。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点位与时序数据、统一语义模型、数据服务与权限。数据不外包——它是资产本身。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基础设施运维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55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自持设备后提前到阶段一。GPU 服务器、存储、网络的日常运维与故障响应；阶段三双人以支持轮值。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业务专家（认证 / 招商 / 工艺）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0.5–1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内部抽调，不新招。核心职责是**演示业务流程供系统凝固**，并核对复用结果。这不是「配合」，是能力中心的原料来源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合计（人）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3.5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</w:t>
            </w:r>
          </w:p>
        </w:tc>
        <w:tc>
          <w:tcPr>
            <w:tcW w:type="dxa" w:w="355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较自建模式减少约 3 人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最容易被低估的一条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业务专家不是可选项。能力中心的产出质量，上限由「有多少业务知识被真正说清楚」决定，而不是由工程师人数决定。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建议以固定工时（如每周两个半天）的方式从认证、工艺、招商三条线抽调，写入部门考核，而非「有空时配合一下」——后者在同类项目中是失败的主要原因。★ 尤其是演示环节：系统能凝固出什么，上限由「演示了多少、演示得多完整」决定。专家不演示，工程师和外包方都无从下手。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5.3 渠道中心：职责与打法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渠道中心负责三条线。它们的共同点是都要经营关系而非交付产品，因此不能按销售的方式统一考核。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118"/>
        <w:gridCol w:w="3370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线</w:t>
            </w:r>
          </w:p>
        </w:tc>
        <w:tc>
          <w:tcPr>
            <w:tcW w:type="dxa" w:w="411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37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考核方式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政府关系</w:t>
            </w:r>
          </w:p>
        </w:tc>
        <w:tc>
          <w:tcPr>
            <w:tcW w:type="dxa" w:w="41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产业政策跟踪与解读（禁塑政策、生物基材料相关标准）；专项申报的组织与材料准备；园区与管委会日常对接；地方标准与认证通道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过程指标为主：政策覆盖度、申报参与数、关系维护频次。不宜按获批金额单一考核——获批与否不完全可控</w:t>
            </w:r>
          </w:p>
        </w:tc>
      </w:tr>
      <w:tr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合作伙伴</w:t>
            </w:r>
          </w:p>
        </w:tc>
        <w:tc>
          <w:tcPr>
            <w:tcW w:type="dxa" w:w="411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上游（稻壳供应、设备与集成商）；平行（高校院所、检测认证机构、视觉质检厂商）；下游（品牌客户、渠道商）；生态（入驻企业招引与服务）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有效合作方数量、合作深度分级、单个伙伴带来的业务量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渠道销售</w:t>
            </w:r>
          </w:p>
        </w:tc>
        <w:tc>
          <w:tcPr>
            <w:tcW w:type="dxa" w:w="41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材料产品的渠道分销；能力订阅销售（阶段三起）；认证代办等服务销售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订单额、回款、渠道覆盖。可用提成，但提成不覆盖前两条线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政府关系与专项申报的两条注意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 · 技改、研发总部等专项在申报时通常要求提交供应商合同与发票——合同金额与内容会进入官方留档，且签约主体须与实际交付主体一致，否则申报会被驳回。这意味着能力中心的采购安排会直接影响申报可行性，两个中心须在采购环节前就对齐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 · 本规划的基准测算未计入任何补贴（见 8.6）。把补贴计入基准会让项目在拿不到时立刻失衡；作为上行项处理更稳妥。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5.4 渠道中心编制与节奏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123"/>
        <w:gridCol w:w="1123"/>
        <w:gridCol w:w="1123"/>
        <w:gridCol w:w="3557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112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阶段一</w:t>
            </w:r>
          </w:p>
        </w:tc>
        <w:tc>
          <w:tcPr>
            <w:tcW w:type="dxa" w:w="112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阶段二</w:t>
            </w:r>
          </w:p>
        </w:tc>
        <w:tc>
          <w:tcPr>
            <w:tcW w:type="dxa" w:w="112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阶段三</w:t>
            </w:r>
          </w:p>
        </w:tc>
        <w:tc>
          <w:tcPr>
            <w:tcW w:type="dxa" w:w="3557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职责要点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渠道中心负责人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阶段一由管理层直接分管，不设专岗——此时三条线的量还不足以支撑一个负责人。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政府关系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355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阶段一即启动。政策窗口与关系建设都有前置期，等有需求时再建线就晚了。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合作伙伴 / BD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0.5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阶段一先梳理既有关系（已有四大国际认证、已有品牌客户），不新拓。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渠道销售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112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55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阶段二起随材料产能爬坡建线；阶段三承接能力订阅销售。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合计（人）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1.5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35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5.5 两个中心的接口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两个中心不是各干各的。下面三个交接点必须写进流程，否则能力中心会建出没人用的能力，渠道中心会卖出交付不了的承诺。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650"/>
        <w:gridCol w:w="3651"/>
      </w:tblGrid>
      <w:tr>
        <w:trPr>
          <w:tblHeader/>
        </w:trPr>
        <w:tc>
          <w:tcPr>
            <w:tcW w:type="dxa" w:w="2059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365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能力中心负责</w:t>
            </w:r>
          </w:p>
        </w:tc>
        <w:tc>
          <w:tcPr>
            <w:tcW w:type="dxa" w:w="3651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渠道中心负责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招商智能体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建设产业链缺口分析与目标企业匹配能力；维护企业库与产业链模型</w:t>
            </w:r>
          </w:p>
        </w:tc>
        <w:tc>
          <w:tcPr>
            <w:tcW w:type="dxa" w:w="36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使用其输出作为线索池；反馈匹配质量以迭代模型；实际接洽与落地</w:t>
            </w:r>
          </w:p>
        </w:tc>
      </w:tr>
      <w:tr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认证服务</w:t>
            </w:r>
          </w:p>
        </w:tc>
        <w:tc>
          <w:tcPr>
            <w:tcW w:type="dxa" w:w="365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提供材料清单生成、申报书草稿、法规监测能力</w:t>
            </w:r>
          </w:p>
        </w:tc>
        <w:tc>
          <w:tcPr>
            <w:tcW w:type="dxa" w:w="365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承接认证代办业务；组织人工审核与对外交付（智能体只出草稿，不代替人承诺）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能力订阅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定义能力包边界、计量口径与隔离方案</w:t>
            </w:r>
          </w:p>
        </w:tc>
        <w:tc>
          <w:tcPr>
            <w:tcW w:type="dxa" w:w="36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定价、销售、客户成功；把付费意愿反馈回能力包设计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一条硬约束：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渠道中心不得对外承诺尚未通过验收的能力。阶段三的能力订阅只能销售已在阶段一、二完成验收的能力项——把未完成的东西先卖出去，会同时毁掉客户关系和能力中心的建设节奏。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5.6 人力成本测算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按上海地区市场水平取中位区间。企业实际成本按税前年薪的 1.35 倍计（含社保、公积金及其他用工成本）。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2059"/>
        <w:gridCol w:w="2808"/>
      </w:tblGrid>
      <w:tr>
        <w:trPr>
          <w:tblHeader/>
        </w:trPr>
        <w:tc>
          <w:tcPr>
            <w:tcW w:type="dxa" w:w="2621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税前年薪区间</w:t>
            </w:r>
          </w:p>
        </w:tc>
        <w:tc>
          <w:tcPr>
            <w:tcW w:type="dxa" w:w="2059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企业成本（×1.35）</w:t>
            </w:r>
          </w:p>
        </w:tc>
        <w:tc>
          <w:tcPr>
            <w:tcW w:type="dxa" w:w="280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能力中心负责人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60–90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81–122 万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复合型岗位，高于普通技术管理</w:t>
            </w:r>
          </w:p>
        </w:tc>
      </w:tr>
      <w:tr>
        <w:tc>
          <w:tcPr>
            <w:tcW w:type="dxa" w:w="262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产品与外包管理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25–45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34–61 万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需懂业务也能判断技术交付质量；参考上海 AI 岗年薪 24–60 万区间下沿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25–40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34–54 万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基础设施运维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20–35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27–47 万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自持设备后从阶段一即需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渠道中心负责人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50–80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68–108 万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阶段二起设岗</w:t>
            </w:r>
          </w:p>
        </w:tc>
      </w:tr>
      <w:tr>
        <w:tc>
          <w:tcPr>
            <w:tcW w:type="dxa" w:w="262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政府关系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35–55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47–74 万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需本地资源与政策理解，不是行政岗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合作伙伴 / BD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25–45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34–61 万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渠道销售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18–30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24–41 万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底薪口径，提成按收入比例另计，未计入本规划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业务专家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不计入增量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内部抽调，成本已在现有编制内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六 · 基础设施规划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6.1 云优先是阶段性决策，不是永久架构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现在点位表尚未产出，服务器与存储按什么规格采购无从判断。而知识库建设、认证档案入库这些工作不依赖产线，今天就该启动。因此阶段一采用云优先，把「买什么」这个问题推迟到有数据支撑时再回答。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786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基础设施决策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</w:t>
            </w:r>
          </w:p>
        </w:tc>
        <w:tc>
          <w:tcPr>
            <w:tcW w:type="dxa" w:w="7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云优先。需求未知，以快速启动为第一目标，避免过早采购形成沉没成本。</w:t>
            </w:r>
          </w:p>
        </w:tc>
      </w:tr>
      <w:tr>
        <w:tc>
          <w:tcPr>
            <w:tcW w:type="dxa" w:w="149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</w:t>
            </w:r>
          </w:p>
        </w:tc>
        <w:tc>
          <w:tcPr>
            <w:tcW w:type="dxa" w:w="786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用量摸清后评估：稳定负载可迁本地，弹性负载留在云上。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</w:t>
            </w:r>
          </w:p>
        </w:tc>
        <w:tc>
          <w:tcPr>
            <w:tcW w:type="dxa" w:w="78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按数据分级结论与总体拥有成本确定最终形态。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6.2 模型与算力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采用开源模型自部署 + 租赁算力。这两件事必须一起说清楚：租算力不等于使用他人的模型服务——算力是通用基础设施，模型部署在自有实例内，推理过程与向量数据不流出、不经过模型服务商。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向量化比推理侧更敏感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知识库建设要把全部配方与工艺文档做向量化处理。若走商业 API，等同于把企业最核心的资料一次性全量发送给第三方。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因此向量嵌入环节必须自部署，不设例外。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推理侧在确有能力不足时，可在脱敏后调用商业接口兜底，但须经数据分级审批，核心配方类不得外发。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模型按用途分四层：主力推理、向量嵌入、视觉理解、轻量抽取。不预设开源模型等同闭源模型的能力——须在真实业务任务上实测选型后再定，此处不列具体型号与参数。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6.3 算力规模与成本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关于计价单位的重要说明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GPU 租赁的公开报价普遍不注明计价单位——同一个「月租 3.5 万元」，可能指单卡，也可能指 8 卡整机，两者相差八倍。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以回本周期反推：一台 8 卡 H20（141G）整机采购价在百万元量级。若月租 3.5 万元指整机，回本约 26–34 个月，与 2–3 年折旧周期吻合，是合理的租赁定价；若指单卡，则整机月收入 28 万元、三四个月回本，不是真实市场价。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因此本规划按「整机」口径测算。此判断基于经济常理而非厂商确认，正式立项前必须逐家询价并在合同中写明计价单位。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另需注意型号：H20 有 96GB（HBM3）与 141GB（HBM3e，带宽 4.8TB/s，与 H200 同款显存）两个版本，96GB 版据称已停产，141GB 为当前主流。询价时须指明版本，两者性能与价格均不同。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246"/>
        <w:gridCol w:w="2246"/>
        <w:gridCol w:w="3464"/>
      </w:tblGrid>
      <w:tr>
        <w:trPr>
          <w:tblHeader/>
        </w:trPr>
        <w:tc>
          <w:tcPr>
            <w:tcW w:type="dxa" w:w="140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24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规模</w:t>
            </w:r>
          </w:p>
        </w:tc>
        <w:tc>
          <w:tcPr>
            <w:tcW w:type="dxa" w:w="224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月度算力成本区间</w:t>
            </w:r>
          </w:p>
        </w:tc>
        <w:tc>
          <w:tcPr>
            <w:tcW w:type="dxa" w:w="346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公有云按需 GPU 实例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1.5–3 万元</w:t>
            </w:r>
          </w:p>
        </w:tc>
        <w:tc>
          <w:tcPr>
            <w:tcW w:type="dxa" w:w="34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知识库建设期负载集中在向量化，用完即停；此阶段不宜包整机</w:t>
            </w:r>
          </w:p>
        </w:tc>
      </w:tr>
      <w:tr>
        <w:tc>
          <w:tcPr>
            <w:tcW w:type="dxa" w:w="140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 台 8 卡整机（租）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3.5–8 万元</w:t>
            </w:r>
          </w:p>
        </w:tc>
        <w:tc>
          <w:tcPr>
            <w:tcW w:type="dxa" w:w="346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增加视觉理解与生产侧推理；同期评估本地化。区间上沿留给 141G 与短租溢价</w:t>
            </w:r>
          </w:p>
        </w:tc>
      </w:tr>
      <w:tr>
        <w:tc>
          <w:tcPr>
            <w:tcW w:type="dxa" w:w="14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按订阅规模弹性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需重新测算</w:t>
            </w:r>
          </w:p>
        </w:tc>
        <w:tc>
          <w:tcPr>
            <w:tcW w:type="dxa" w:w="34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对下游开放后负载与收入同步增长，宜按用量计价并与订阅定价挂钩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一个值得注意的结论：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算力不是大头。三年算力支出约 50–115 万，而人力约 950–1,550 万——相差一个数量级。这意味着预算的成败取决于人配得对不对，而不是卡租得贵不贵；也意味着在算力上过度节省（例如为省钱用不够用的卡，导致工程师反复试错）是亏的。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6.3.1 租赁与自建的比较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自建（采购整机自持）是一个应当认真评估的选项，尤其在阶段二末负载摸清之后。三个维度上它与租赁各有胜负。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8"/>
        <w:gridCol w:w="3837"/>
      </w:tblGrid>
      <w:tr>
        <w:trPr>
          <w:tblHeader/>
        </w:trPr>
        <w:tc>
          <w:tcPr>
            <w:tcW w:type="dxa" w:w="1685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83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租赁</w:t>
            </w:r>
          </w:p>
        </w:tc>
        <w:tc>
          <w:tcPr>
            <w:tcW w:type="dxa" w:w="3837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自建（采购 + 托管）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现金流</w:t>
            </w:r>
          </w:p>
        </w:tc>
        <w:tc>
          <w:tcPr>
            <w:tcW w:type="dxa" w:w="38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无前期支出，按月计入运营费用。需求变化时可停</w:t>
            </w:r>
          </w:p>
        </w:tc>
        <w:tc>
          <w:tcPr>
            <w:tcW w:type="dxa" w:w="38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前期一次性支出百万元量级；三年周期内若负载稳定，总成本可能低于租赁</w:t>
            </w:r>
          </w:p>
        </w:tc>
      </w:tr>
      <w:tr>
        <w:tc>
          <w:tcPr>
            <w:tcW w:type="dxa" w:w="168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政策口径</w:t>
            </w:r>
          </w:p>
        </w:tc>
        <w:tc>
          <w:tcPr>
            <w:tcW w:type="dxa" w:w="383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服务费，多数专项不认，不可申报</w:t>
            </w:r>
          </w:p>
        </w:tc>
        <w:tc>
          <w:tcPr>
            <w:tcW w:type="dxa" w:w="383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固定资产购置，属技改专项的典型支持范围，可申报（见 8.3）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灵活性</w:t>
            </w:r>
          </w:p>
        </w:tc>
        <w:tc>
          <w:tcPr>
            <w:tcW w:type="dxa" w:w="38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高。型号可换，规模可增可减，不承担技术过时风险</w:t>
            </w:r>
          </w:p>
        </w:tc>
        <w:tc>
          <w:tcPr>
            <w:tcW w:type="dxa" w:w="38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低。GPU 迭代快，三年后残值不确定；型号选错要承担全部损失</w:t>
            </w:r>
          </w:p>
        </w:tc>
      </w:tr>
      <w:tr>
        <w:tc>
          <w:tcPr>
            <w:tcW w:type="dxa" w:w="168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附加成本</w:t>
            </w:r>
          </w:p>
        </w:tc>
        <w:tc>
          <w:tcPr>
            <w:tcW w:type="dxa" w:w="383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报价通常已含机房、带宽、电力、运维</w:t>
            </w:r>
          </w:p>
        </w:tc>
        <w:tc>
          <w:tcPr>
            <w:tcW w:type="dxa" w:w="383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另需机柜托管费、电费、运维投入；本项目还有稻壳粉尘与 GPU 功率密度两项特有物理风险（见 6.4）</w:t>
            </w:r>
          </w:p>
        </w:tc>
      </w:tr>
      <w:tr>
        <w:tc>
          <w:tcPr>
            <w:tcW w:type="dxa" w:w="16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起步门槛</w:t>
            </w:r>
          </w:p>
        </w:tc>
        <w:tc>
          <w:tcPr>
            <w:tcW w:type="dxa" w:w="38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低。可先用公有云按需实例</w:t>
            </w:r>
          </w:p>
        </w:tc>
        <w:tc>
          <w:tcPr>
            <w:tcW w:type="dxa" w:w="383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高。最小单位是整机，与阶段一的实际负载不匹配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建议的判据，而不是结论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阶段一不自建 —— 此时点位表未出、模型未选型，买什么规格无从判断，这正是 6.1「云优先」的原因。为省租金而提前采购，是把不确定性变成沉没成本。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二末做一次评估，判据三条同时成立才转自建：一是负载已稳定且可预测（有连续三个月的实测数据）；二是三年期总成本测算优于租赁；三是已确认可纳入技改申报范围——第三条是自建相对租赁最实在的额外收益，因为租赁服务费不可申报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评估时必须把托管费、电费与运维投入一并计入，只比「采购价 vs 租金」会得出错误结论。这几项须实地询价，本规划不作估算。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一条量级参考：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 6.3 的租赁区间，三年租金约 126–288 万；一台 8 卡 H20（141G）整机采购价在百万元量级。两者处在同一数量级，意味着这个选择不会显著改变总预算（算力仅占 3%），但会显著改变可申报比例——这才是它真正的价值所在。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6.4 自持基础设施清单（阶段一采购）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这一节对应一个方向性决定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原方案是「阶段一云优先、阶段二末再评估自建」。若改为阶段一即采购自持，需要同时接受两件事：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 · 阶段一预算从 100–161 万上升到 500–800 万量级，资金曲线前移；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 · 在点位表尚未产出、模型尚未实测选型的时点做规格决策，存在买错的风险。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换来的是：设备属固定资产购置，可纳入技改专项申报（租赁服务费不可，见 8.3）；且资产留在谷千禾名下，可计入估值。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6.4.1 GPU 服务器 —— 为什么至少两台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 H20 141G（HBM3e，显存带宽 4.8TB/s）8 卡整机测算。单机 8 卡合计 1,128GB 显存，可原生部署当前主流的满血级开源大模型。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301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一台够不够跑</w:t>
            </w:r>
          </w:p>
        </w:tc>
        <w:tc>
          <w:tcPr>
            <w:tcW w:type="dxa" w:w="730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够。8×141GB = 1,128GB，满血级模型单机可部署。</w:t>
            </w:r>
          </w:p>
        </w:tc>
      </w:tr>
      <w:tr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为什么仍需两台</w:t>
            </w:r>
          </w:p>
        </w:tc>
        <w:tc>
          <w:tcPr>
            <w:tcW w:type="dxa" w:w="730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不是算力不够，是单点。一台故障，两个中心的全部智能体同时停摆——而阶段一的认证与招商能力一旦进入日常使用，停摆就是业务中断。</w:t>
            </w:r>
          </w:p>
        </w:tc>
      </w:tr>
      <w:tr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两台怎么分工</w:t>
            </w:r>
          </w:p>
        </w:tc>
        <w:tc>
          <w:tcPr>
            <w:tcW w:type="dxa" w:w="730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一台常驻主力推理；一台承担向量嵌入、视觉理解、轻量抽取，并在主力机故障时接管。日常各司其职，故障时降级运行而非停机。</w:t>
            </w:r>
          </w:p>
        </w:tc>
      </w:tr>
      <w:tr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扩容路径</w:t>
            </w:r>
          </w:p>
        </w:tc>
        <w:tc>
          <w:tcPr>
            <w:tcW w:type="dxa" w:w="730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以 8 卡整机为单位横向扩。机柜位、配电容量、网络端口按 4 台预留——预留的是空间和接口，不是提前买机器。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6.4.2 应用服务器 —— 需要，而且不能省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GPU 服务器只跑模型推理。除此之外的一切都在通用服务器上：智能体编排与任务调度、工具执行、知识库检索、API 网关、关系型数据库、向量数据库、审计日志、门户。这部分负载不吃 GPU，但一旦不可用，模型再强也调不动。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498"/>
        <w:gridCol w:w="5428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149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  <w:tc>
          <w:tcPr>
            <w:tcW w:type="dxa" w:w="542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编排与应用</w:t>
            </w:r>
          </w:p>
        </w:tc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 台</w:t>
            </w:r>
          </w:p>
        </w:tc>
        <w:tc>
          <w:tcPr>
            <w:tcW w:type="dxa" w:w="54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智能体编排、工具执行、API 网关。双机做高可用，不是双份性能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数据与中间件</w:t>
            </w:r>
          </w:p>
        </w:tc>
        <w:tc>
          <w:tcPr>
            <w:tcW w:type="dxa" w:w="149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 台</w:t>
            </w:r>
          </w:p>
        </w:tc>
        <w:tc>
          <w:tcPr>
            <w:tcW w:type="dxa" w:w="542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关系库、向量库、消息与调度、审计日志。数据面必须双机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阶段二增补</w:t>
            </w:r>
          </w:p>
        </w:tc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＋2 台</w:t>
            </w:r>
          </w:p>
        </w:tc>
        <w:tc>
          <w:tcPr>
            <w:tcW w:type="dxa" w:w="54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产线数据接入后的时序处理与数据服务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6.4.3 存储 —— 需要，容量主要被模型权重和时序数据吃掉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量级（估）</w:t>
            </w:r>
          </w:p>
        </w:tc>
        <w:tc>
          <w:tcPr>
            <w:tcW w:type="dxa" w:w="4867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模型权重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3–5 TB</w:t>
            </w:r>
          </w:p>
        </w:tc>
        <w:tc>
          <w:tcPr>
            <w:tcW w:type="dxa" w:w="48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四层模型（主力推理 / 向量嵌入 / 视觉理解 / 轻量抽取）× 多版本并存，选型期尤其占地方</w:t>
            </w:r>
          </w:p>
        </w:tc>
      </w:tr>
      <w:tr>
        <w:tc>
          <w:tcPr>
            <w:tcW w:type="dxa" w:w="262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文档与知识库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5–10 TB</w:t>
            </w:r>
          </w:p>
        </w:tc>
        <w:tc>
          <w:tcPr>
            <w:tcW w:type="dxa" w:w="486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配方文件、检测报告、认证与申报材料、实验记录及其结构化产物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向量索引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2–5 TB</w:t>
            </w:r>
          </w:p>
        </w:tc>
        <w:tc>
          <w:tcPr>
            <w:tcW w:type="dxa" w:w="48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全量文档向量化后的索引，随知识库增长</w:t>
            </w:r>
          </w:p>
        </w:tc>
      </w:tr>
      <w:tr>
        <w:tc>
          <w:tcPr>
            <w:tcW w:type="dxa" w:w="262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时序数据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阶段二起年增 5–20 TB</w:t>
            </w:r>
          </w:p>
        </w:tc>
        <w:tc>
          <w:tcPr>
            <w:tcW w:type="dxa" w:w="486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取决于点位数与采样频率——点位表未出，这个数现在只能给量级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备份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上述 × 2</w:t>
            </w:r>
          </w:p>
        </w:tc>
        <w:tc>
          <w:tcPr>
            <w:tcW w:type="dxa" w:w="48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至少一份异地或离线副本</w:t>
            </w:r>
          </w:p>
        </w:tc>
      </w:tr>
      <w:tr>
        <w:tc>
          <w:tcPr>
            <w:tcW w:type="dxa" w:w="2621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建议规格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50–100 TB 可用</w:t>
            </w:r>
          </w:p>
        </w:tc>
        <w:tc>
          <w:tcPr>
            <w:tcW w:type="dxa" w:w="4867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分层：模型与向量走 NVMe，文档与时序走大容量盘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6.4.4 网络、机柜与配电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业务网与存储网：25/100GbE 交换机双机堆叠。若两台 GPU 机需做分布式推理，还需 RDMA/InfiniBand，成本显著上升——但按 6.4.1 的分工，两台各跑各的，暂不需要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★ 配电是这套方案最容易被漏掉的一项：8 卡 H20 整机功率约 6–10kW，两台合计 12–20kW。而常规机柜额定 4–6kW，一台就装不下——必须用高功率机柜或跨柜分散部署，托管费也按 kW 而非按柜计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这正是 6.5 提到的「GPU 功率密度」风险的具体形态。若考虑放在厂区自建机房，还要叠加稻壳粉碎工序的粉尘问题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6.4.5 对外承接场景 —— 参数下发到承接方产线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上面 6.4.1–6.4.4 是稻生自用的配置。但还有一类完全不同的场景：稻生把配方参数下发到**承接方的产线**上——链路是「稻生（配方层）→ 边缘盒子 → 承接方 PLC → 设备」。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这个链路本身是成立的：稻生停在参数设定层（L3），不进实时控制回路（L1），责任边界清楚。但它与自建产线是两件事，有三点必须先定。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其一 · 这是一对多，成本按厂计。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承接方的 PLC 品牌（西门子 / 三菱 / 欧姆龙 / 汇川等）、型号年代、程序结构、网络架构各不相同。没有「一次改造」，只有「每接一家改一次」。单厂改造包含：PLC 程序修改（开放点位、参数接收逻辑、上下限硬校验、执行回执）、可能的通信模块加装、边缘盒子一套、现场调试与验收、停产窗口协调。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单厂金额差异极大——新一点的 PLC 加个通信配置即可，老设备可能要换模块甚至改网络架构，因此本规划不作估算。建议按「首家试点 → 摸出实际工作量 → 再谈规模化」推进，不要一开始就按 N 家报总价。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其二 · 边缘盒子由「项目交付件」变成「产品」。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自用时它是一套设备；对外承接时是每接一家就要交付一套的标准件。这要求边缘软件做成配置化的——协议适配、点位映射、参数白名单均通过配置而非改代码实现，否则每家都要开发一遍，成本不可控。★ 这一条必须写进给外包方的需求规格：按项目做和按产品做，架构差别很大，事后改不动。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其三 · 责任边界。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参数从稻生下发到承接方的设备上，出问题算谁的。三道防线缺一不可：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参数上下限硬约束设在**承接方的 PLC 侧** —— 不是边缘盒子，不是稻生侧。上游全错时，最后一道防线仍在设备所有者手中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承接方保留否决权 —— 可拒绝执行，且拒绝动作须有记录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全链路留痕 —— 谁下发、依据什么数据、承接方谁确认、实际执行值、结果回传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情形</w:t>
            </w:r>
          </w:p>
        </w:tc>
        <w:tc>
          <w:tcPr>
            <w:tcW w:type="dxa" w:w="617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责任方（建议写入承接协议）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稻生下发的参数本身有误</w:t>
            </w:r>
          </w:p>
        </w:tc>
        <w:tc>
          <w:tcPr>
            <w:tcW w:type="dxa" w:w="617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稻生</w:t>
            </w:r>
          </w:p>
        </w:tc>
      </w:tr>
      <w:tr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承接方 PLC 上下限未正确组态</w:t>
            </w:r>
          </w:p>
        </w:tc>
        <w:tc>
          <w:tcPr>
            <w:tcW w:type="dxa" w:w="617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承接方及其系统集成商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边缘软件传输或转换出错</w:t>
            </w:r>
          </w:p>
        </w:tc>
        <w:tc>
          <w:tcPr>
            <w:tcW w:type="dxa" w:w="617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软件供应商</w:t>
            </w:r>
          </w:p>
        </w:tc>
      </w:tr>
      <w:tr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承接方擅自修改已确认参数</w:t>
            </w:r>
          </w:p>
        </w:tc>
        <w:tc>
          <w:tcPr>
            <w:tcW w:type="dxa" w:w="617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承接方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两个商务前置条件，技术解决不了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 · 配方保密分级 —— 下发参数等于把部分配方交给承接方。哪些可发、发到什么颗粒度，是 9.2 与附录 A 里尚未确定的事项之一。未定之前不宜开放此能力。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 · 质量事故的赔偿责任划分 —— 须在承接协议中约定，不能只靠技术留痕。留痕解决的是「查得清」，不解决「赔多少」。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预算处理建议：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承接方的改造不并入本规划的基础设施预算。它的性质是随业务扩张发生的可变成本，应与承接订单挂钩单独立项、按厂报价，而非作为前期一次性投入。自建产线则相反 —— 在设备采购规格书中提出接口要求即可，成本近乎为零；建成后再改则需停产与重新验收，代价可能相差十倍以上。★ 因此规范文件必须赶在产线设备定标之前完成。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6.4.6 采购预算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科目</w:t>
            </w:r>
          </w:p>
        </w:tc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金额区间</w:t>
            </w:r>
          </w:p>
        </w:tc>
        <w:tc>
          <w:tcPr>
            <w:tcW w:type="dxa" w:w="449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依据与说明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GPU 服务器 × 2</w:t>
            </w:r>
          </w:p>
        </w:tc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240–300 万</w:t>
            </w:r>
          </w:p>
        </w:tc>
        <w:tc>
          <w:tcPr>
            <w:tcW w:type="dxa" w:w="4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 卡 H20 141G 整机约 120–130 万/台（2025 年 4 月前市场价）。2026 年供需与政策变动大，须重新询价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应用服务器 × 4</w:t>
            </w:r>
          </w:p>
        </w:tc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40–80 万</w:t>
            </w:r>
          </w:p>
        </w:tc>
        <w:tc>
          <w:tcPr>
            <w:tcW w:type="dxa" w:w="449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双路 CPU、大内存通用服务器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存储 50–100TB</w:t>
            </w:r>
          </w:p>
        </w:tc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30–80 万</w:t>
            </w:r>
          </w:p>
        </w:tc>
        <w:tc>
          <w:tcPr>
            <w:tcW w:type="dxa" w:w="4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分层配置，含备份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网络设备</w:t>
            </w:r>
          </w:p>
        </w:tc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15–40 万</w:t>
            </w:r>
          </w:p>
        </w:tc>
        <w:tc>
          <w:tcPr>
            <w:tcW w:type="dxa" w:w="449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交换机、光模块、布线。不含 RDMA/IB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机柜、配电改造</w:t>
            </w:r>
          </w:p>
        </w:tc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需询价</w:t>
            </w:r>
          </w:p>
        </w:tc>
        <w:tc>
          <w:tcPr>
            <w:tcW w:type="dxa" w:w="4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 kW 计，取决于托管还是自建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采购合计</w:t>
            </w:r>
          </w:p>
        </w:tc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325–500 万</w:t>
            </w:r>
          </w:p>
        </w:tc>
        <w:tc>
          <w:tcPr>
            <w:tcW w:type="dxa" w:w="449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不含年度托管费与电费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年度托管与电费</w:t>
            </w:r>
          </w:p>
        </w:tc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需询价</w:t>
            </w:r>
          </w:p>
        </w:tc>
        <w:tc>
          <w:tcPr>
            <w:tcW w:type="dxa" w:w="4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12–20kW 的持续功耗，须向 IDC 逐家取价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与租赁方案的对照：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三年租金约 126–288 万（6.3），而自持采购 325–500 万加三年托管。纯从现金支出看，自持在三年周期内不一定更便宜；它的价值在于可申报、资产留存、以及数据完全不出自有设备。这三条是否值这个差价，是投资决策而非技术决策。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6.5 托管还是自建机房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采购自持之后，设备放哪里是紧接着的决策。纯从安全角度看，专业 IDC 通常优于自建厂区机房——自建所声称的「更安全」多为心理层面。自建真正不可替代的只有两条：数据不出厂区、无第三方物理接触。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但按 6.4 的配置，两台 GPU 服务器加应用与存储，IT 负载约 15–25kW。这个规模下自建要建的东西，一样都不能少：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118"/>
        <w:gridCol w:w="3370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系统</w:t>
            </w:r>
          </w:p>
        </w:tc>
        <w:tc>
          <w:tcPr>
            <w:tcW w:type="dxa" w:w="411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  <w:tc>
          <w:tcPr>
            <w:tcW w:type="dxa" w:w="337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省不掉的原因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配电与 UPS</w:t>
            </w:r>
          </w:p>
        </w:tc>
        <w:tc>
          <w:tcPr>
            <w:tcW w:type="dxa" w:w="41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独立配电柜；UPS 按 IT 负载 1.2–1.5 倍配，即 20–35kVA；后备 15–30 分钟或配柴发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GPU 服务器非正常断电的代价不只是停机，还可能损坏硬件与训练/索引中间态</w:t>
            </w:r>
          </w:p>
        </w:tc>
      </w:tr>
      <w:tr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精密空调</w:t>
            </w:r>
          </w:p>
        </w:tc>
        <w:tc>
          <w:tcPr>
            <w:tcW w:type="dxa" w:w="411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制冷量按 IT 负载 1.2–1.3 倍，即 20–33kW；N+1 冗余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最容易低估的一项。IT 功耗几乎 100% 转为热量，舒适性空调撑不住；空调故障后高密机柜半小时内就会过热降频甚至宕机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防尘</w:t>
            </w:r>
          </w:p>
        </w:tc>
        <w:tc>
          <w:tcPr>
            <w:tcW w:type="dxa" w:w="41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机房正压、多级过滤、独立新风；选址远离粉碎车间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本项目特有。稻壳粉碎产生粉尘，而 GPU 服务器风扇转速高、进风量大，粉尘堆积在散热片上会持续削弱散热——这不是「注意一点」能解决的，是选址与新风设计问题</w:t>
            </w:r>
          </w:p>
        </w:tc>
      </w:tr>
      <w:tr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消防</w:t>
            </w:r>
          </w:p>
        </w:tc>
        <w:tc>
          <w:tcPr>
            <w:tcW w:type="dxa" w:w="411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气体灭火（七氟丙烷等），需过消防验收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机房消防不能用水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监控与安防</w:t>
            </w:r>
          </w:p>
        </w:tc>
        <w:tc>
          <w:tcPr>
            <w:tcW w:type="dxa" w:w="41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门禁、视频、温湿度、漏水检测、烟感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无人值守机房出事时要能第一时间知道</w:t>
            </w:r>
          </w:p>
        </w:tc>
      </w:tr>
      <w:tr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网络接入</w:t>
            </w:r>
          </w:p>
        </w:tc>
        <w:tc>
          <w:tcPr>
            <w:tcW w:type="dxa" w:w="411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厂区到运营商专线，且需冗余线路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单线路中断等于两个中心整体断网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6.5.1 两笔容易算漏的账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其一 · 电费会明显高于同等负载放在 IDC。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年电费 ≈ IT 负载(kW) × 8,760 小时 × PUE × 工业电价。小型自建机房的 PUE 通常在 1.8–2.5，而大型专业 IDC 能做到 1.2–1.3。同样 20kW 的 IT 负载，自建的总耗电可能比托管高出四到八成。电价按当地工业电价核定，本规划不作估算。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其二 · 运维编制对不上。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5.2 的编制里基础设施运维阶段一 1 人。托管模式下这够用——机房侧的电力、制冷、消防、安防由 IDC 负责，我方只管设备与系统。自建则这些全部落到自己头上，1 人无法覆盖 7×24 的响应。要么增编，要么把机房设施部分委托专业公司运维（那又回到了「有第三方接触」）。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这个规模的判断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自建机房的配电、精密空调、消防、防尘是一次性固定投入，与机器数量关系不大。摊到两台设备上，单位成本很高——规模效应通常要到几十 kW 才显现。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因此对当前规模，托管在经济性上明显占优；自建只有在「数据绝对不能出厂区」成为硬约束时才成立。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而这恰恰是一个尚未做出的决策：数据分级（见 9.2 与附录 A）定清哪些数据绝对不能离开厂区之前，机房形态无法定论。建议顺序是先定数据分级，再定机房，而不是反过来。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一个折中选项：核心数据相关负载放厂区自建的小机房（只放必需的一部分），其余放托管。代价是要维护两套环境，须评估管理复杂度是否值得。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若最终选择自建，机房建设费用（土建改造、配电、精密空调、消防、防尘、安防）须按实际负载与场地条件逐项询价，本规划不作估算——这类费用受场地现状影响极大，套用行业均价会严重失真。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6.6 机房选型结论备查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纯从安全角度看，专业 IDC 通常优于自建厂区机房；自建所声称的「更安全」多为心理层面。自建真正不可替代的只有两条：数据不出厂区、无第三方物理接触。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本项目还有两项特有物理风险须在自建方案中专门应对（配电部分见 6.4.4）：稻壳粉碎工序产生的粉尘，以及 GPU 设备的功率密度。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七 · 建设目标与验收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关于指标的说明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良品率、OEE、能耗、认证周期等现状基线尚未采集。在没有基线的情况下承诺改善幅度，是无法验证的承诺——写进合同即成为验收依据，将来须按其交付。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因此本章给出的是指标的定义与测量方法，以及基线采集的时点安排。具体目标值待阶段一基线采集完成后共同确定。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7.1 分阶段目标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4025"/>
        <w:gridCol w:w="4025"/>
      </w:tblGrid>
      <w:tr>
        <w:trPr>
          <w:tblHeader/>
        </w:trPr>
        <w:tc>
          <w:tcPr>
            <w:tcW w:type="dxa" w:w="131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025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能力目标（可验收）</w:t>
            </w:r>
          </w:p>
        </w:tc>
        <w:tc>
          <w:tcPr>
            <w:tcW w:type="dxa" w:w="4025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业务目标（待基线后定值）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</w:t>
            </w:r>
          </w:p>
        </w:tc>
        <w:tc>
          <w:tcPr>
            <w:tcW w:type="dxa" w:w="40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四个市场认证要求可检索；材料清单可自动生成；申报书可出草稿；法规变更自动监测无漏报</w:t>
            </w:r>
          </w:p>
        </w:tc>
        <w:tc>
          <w:tcPr>
            <w:tcW w:type="dxa" w:w="40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认证材料准备周期压缩；法规变更响应从被动获知转为主动预警</w:t>
            </w:r>
          </w:p>
        </w:tc>
      </w:tr>
      <w:tr>
        <w:tc>
          <w:tcPr>
            <w:tcW w:type="dxa" w:w="131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</w:t>
            </w:r>
          </w:p>
        </w:tc>
        <w:tc>
          <w:tcPr>
            <w:tcW w:type="dxa" w:w="402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研发实验数据结构化入库；生产异常可归因至工艺参数与原料批次；数据接入规范交付并联调通过</w:t>
            </w:r>
          </w:p>
        </w:tc>
        <w:tc>
          <w:tcPr>
            <w:tcW w:type="dxa" w:w="402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试制轮次减少；异常处置时间缩短；质量问题可追溯至批次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</w:t>
            </w:r>
          </w:p>
        </w:tc>
        <w:tc>
          <w:tcPr>
            <w:tcW w:type="dxa" w:w="40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园区能力对下游开放，多企业数据隔离通过测试；能力订阅可计量可计费</w:t>
            </w:r>
          </w:p>
        </w:tc>
        <w:tc>
          <w:tcPr>
            <w:tcW w:type="dxa" w:w="40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入驻企业留存率；能力订阅收入；招商匹配成功率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7.2 基线采集安排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阶段一 M1 阶段同步启动基线采集，采集项包括：现行认证材料准备的实际耗时与返工次数、研发试制的轮次与周期、（阶段二前）产线良品率与关键工序 OEE、单位产品能耗。采集方法与口径须双方书面确认，避免验收时对指标定义产生分歧。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八 · 财务预算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本章为区间估算。人力按 5.6 节区间测算，硬件按 6.4.6 节，开发外包按人月估算。凡未取得报价者标注「需询价」——不以估值代替报价。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8.1 三年总投入（全景）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059"/>
        <w:gridCol w:w="2059"/>
        <w:gridCol w:w="2808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科目</w:t>
            </w:r>
          </w:p>
        </w:tc>
        <w:tc>
          <w:tcPr>
            <w:tcW w:type="dxa" w:w="2059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三年金额</w:t>
            </w:r>
          </w:p>
        </w:tc>
        <w:tc>
          <w:tcPr>
            <w:tcW w:type="dxa" w:w="2059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占比（中值）</w:t>
            </w:r>
          </w:p>
        </w:tc>
        <w:tc>
          <w:tcPr>
            <w:tcW w:type="dxa" w:w="280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口径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运营人力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1,270–2,094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38%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谷千禾自有编制（能力中心 719–1,181 + 渠道中心 551–913）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开发外包（应用层）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400–980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14%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80–140 人月 × 5–7 万。底座补缺后应用层大幅变轻 —— skill 闭环把「开发」变成「配置 + 知识灌注」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硬件采购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635–870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17%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GPU×2 + 应用服务器×4 + 存储 + 网络 + 边缘 + 备件与测试环境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平台采购与实施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490–1,252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20%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现有平台授权 100–300 万 + 底座定向开发 390–952 万（78–136 人月 × 5–7 万）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平台年度技术服务费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147–501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7%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按采购额 15–20%/年 × 2 年（首年通常含质保）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机房托管（三年）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45–135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2%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15–25kW 按 kW 计 · 需询价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其他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260–435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7%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两个中心的外部服务、数据源、差旅、市场、审计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员工使用培训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20–50 万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约 1%</w:t>
            </w:r>
          </w:p>
        </w:tc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业务部门，不含员工工时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三年合计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3,267–6,317 万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100%</w:t>
            </w:r>
          </w:p>
        </w:tc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中值约 4,800 万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若选自建机房：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硬件项增加机房建设 55–125 万，托管费换为三年电费 50–75 万，总额约 3,320–6,360 万。差额不大，但自建的运维责任与编制缺口另计（见 6.5.1）。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不含：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产线设备与工艺装备、视觉质检成套、厂房与土建、销售提成、承接方产线改造（随订单发生的可变成本，见 6.4.5）、计算化学合作。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为什么区间宽达一倍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上下限相差约 3,050 万。最大的两项是平台采购与实施（490–1,252 万）和开发外包（400–980 万），合计占差额的四成。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平台部分已按人月实测过（底座缺口 78–136 人月），但仍是估算不是报价；应用层的人月假设则建立在「skill 凝固闭环真的成立」之上 —— 该假设尚未在真实业务场景验证过。两者都落地之后，区间才会收窄到可决策的宽度。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其余的宽度来自薪资区间本身（跨度 67%）与硬件配置弹性，这两项在阶段一结束时会显著收窄——届时已知实际招到什么人、实测出真实负载。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8.2 分阶段投入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966"/>
        <w:gridCol w:w="1966"/>
        <w:gridCol w:w="1966"/>
        <w:gridCol w:w="2152"/>
      </w:tblGrid>
      <w:tr>
        <w:trPr>
          <w:tblHeader/>
        </w:trPr>
        <w:tc>
          <w:tcPr>
            <w:tcW w:type="dxa" w:w="131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96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运营人力</w:t>
            </w:r>
          </w:p>
        </w:tc>
        <w:tc>
          <w:tcPr>
            <w:tcW w:type="dxa" w:w="196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开发外包</w:t>
            </w:r>
          </w:p>
        </w:tc>
        <w:tc>
          <w:tcPr>
            <w:tcW w:type="dxa" w:w="196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平台采购</w:t>
            </w:r>
          </w:p>
        </w:tc>
        <w:tc>
          <w:tcPr>
            <w:tcW w:type="dxa" w:w="215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小计（含硬件与其他）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阶段一（0–6 月）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103–167 万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100–210 万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140–405 万</w:t>
            </w:r>
          </w:p>
        </w:tc>
        <w:tc>
          <w:tcPr>
            <w:tcW w:type="dxa" w:w="2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1,030–1,749 万</w:t>
            </w:r>
          </w:p>
        </w:tc>
      </w:tr>
      <w:tr>
        <w:tc>
          <w:tcPr>
            <w:tcW w:type="dxa" w:w="131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阶段二（6–18 月）</w:t>
            </w:r>
          </w:p>
        </w:tc>
        <w:tc>
          <w:tcPr>
            <w:tcW w:type="dxa" w:w="196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416–682 万</w:t>
            </w:r>
          </w:p>
        </w:tc>
        <w:tc>
          <w:tcPr>
            <w:tcW w:type="dxa" w:w="196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200–490 万</w:t>
            </w:r>
          </w:p>
        </w:tc>
        <w:tc>
          <w:tcPr>
            <w:tcW w:type="dxa" w:w="196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300–721 万</w:t>
            </w:r>
          </w:p>
        </w:tc>
        <w:tc>
          <w:tcPr>
            <w:tcW w:type="dxa" w:w="215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1,068–2,265 万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阶段三（18–36 月）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751–1,245 万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100–280 万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50–126 万</w:t>
            </w:r>
          </w:p>
        </w:tc>
        <w:tc>
          <w:tcPr>
            <w:tcW w:type="dxa" w:w="2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1,169–2,303 万</w:t>
            </w:r>
          </w:p>
        </w:tc>
      </w:tr>
      <w:tr>
        <w:tc>
          <w:tcPr>
            <w:tcW w:type="dxa" w:w="131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（硬件与其他已按阶段并入上方）</w:t>
            </w:r>
          </w:p>
        </w:tc>
        <w:tc>
          <w:tcPr>
            <w:tcW w:type="dxa" w:w="196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96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215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合计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1,270–2,094 万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400–980 万</w:t>
            </w:r>
          </w:p>
        </w:tc>
        <w:tc>
          <w:tcPr>
            <w:tcW w:type="dxa" w:w="19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490–1,252 万</w:t>
            </w:r>
          </w:p>
        </w:tc>
        <w:tc>
          <w:tcPr>
            <w:tcW w:type="dxa" w:w="2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3,267–6,317 万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阶段一的资金曲线被硬件顶高了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阶段一小计 1,030–1,749 万，其中硬件采购占 635–870 万 —— 因为「算力设备第一阶段就采购」这个决定，把三年中最大的一笔单项支出压到了第一个半年。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这与原方案「云优先、阶段二末再评估自建」相比，资金曲线前移约一年，且在点位表未出、模型未实测选型的时点做规格决策，存在买错的风险。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换来的是设备可申报（见 8.4）与资产留在自己名下。这是投资决策而非技术决策，建议在资金安排时单独确认。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8.3 按「谁出钱」切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主体是谷千禾自建，因此两个中心的人是自有编制，不经过对外合同。谈判与预算审批时这两栏不能混。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059"/>
        <w:gridCol w:w="4493"/>
      </w:tblGrid>
      <w:tr>
        <w:trPr>
          <w:tblHeader/>
        </w:trPr>
        <w:tc>
          <w:tcPr>
            <w:tcW w:type="dxa" w:w="280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三年金额</w:t>
            </w:r>
          </w:p>
        </w:tc>
        <w:tc>
          <w:tcPr>
            <w:tcW w:type="dxa" w:w="449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包含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谷千禾自担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1,550–2,579 万</w:t>
            </w:r>
          </w:p>
        </w:tc>
        <w:tc>
          <w:tcPr>
            <w:tcW w:type="dxa" w:w="44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运营人力、其他杂项、员工培训</w:t>
            </w:r>
          </w:p>
        </w:tc>
      </w:tr>
      <w:tr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对外合同额</w:t>
            </w:r>
          </w:p>
        </w:tc>
        <w:tc>
          <w:tcPr>
            <w:tcW w:type="dxa" w:w="2059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1,717–3,738 万</w:t>
            </w:r>
          </w:p>
        </w:tc>
        <w:tc>
          <w:tcPr>
            <w:tcW w:type="dxa" w:w="449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开发外包、平台采购与实施、平台年服务费、硬件采购、机房托管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合计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3,267–6,317 万</w:t>
            </w:r>
          </w:p>
        </w:tc>
        <w:tc>
          <w:tcPr>
            <w:tcW w:type="dxa" w:w="44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8.4 按「能否获得政策支持」切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本规划的支出结构里，人力占约 39%，而这恰恰是政策补贴最不覆盖的部分。技改类专项的人员费用限于直接参与项目的技术人员工资，且通常不超过补贴总额的 20%。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246"/>
        <w:gridCol w:w="4306"/>
      </w:tblGrid>
      <w:tr>
        <w:trPr>
          <w:tblHeader/>
        </w:trPr>
        <w:tc>
          <w:tcPr>
            <w:tcW w:type="dxa" w:w="2808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科目</w:t>
            </w:r>
          </w:p>
        </w:tc>
        <w:tc>
          <w:tcPr>
            <w:tcW w:type="dxa" w:w="224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三年金额</w:t>
            </w:r>
          </w:p>
        </w:tc>
        <w:tc>
          <w:tcPr>
            <w:tcW w:type="dxa" w:w="430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政策可覆盖性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硬件采购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635–870 万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固定资产购置，属技改专项典型支持范围</w:t>
            </w:r>
          </w:p>
        </w:tc>
      </w:tr>
      <w:tr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平台采购（一次性买断）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490–1,252 万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软件著作权与技术购置，可申报。★ 但按年订阅的服务费通常不可 —— 采购方式在谈判前就要结合申报意图定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○ 开发外包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400–980 万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委托开发合同，部分专项可计入。须逐条核对当年申报口径</w:t>
            </w:r>
          </w:p>
        </w:tc>
      </w:tr>
      <w:tr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✗ 运营人力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1,270–2,094 万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基本不可覆盖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✗ 其他与培训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280–485 万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基本不在范围</w:t>
            </w:r>
          </w:p>
        </w:tc>
      </w:tr>
      <w:tr>
        <w:tc>
          <w:tcPr>
            <w:tcW w:type="dxa" w:w="2808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✗ 机房托管</w:t>
            </w:r>
          </w:p>
        </w:tc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45–135 万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服务费，多数专项不认</w:t>
            </w:r>
          </w:p>
        </w:tc>
      </w:tr>
      <w:tr>
        <w:tc>
          <w:tcPr>
            <w:tcW w:type="dxa" w:w="28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✗ 平台年度服务费</w:t>
            </w:r>
          </w:p>
        </w:tc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147–501 万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服务费，多数专项不认</w:t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结论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可申报科目合计 1,525–3,102 万，占总额约一半（中值口径约 48%）—— 比原方案（人力占 82%、可申报不足两成）明显改善。这正是「开发外包 + 硬件自购」这个组合在政策维度上的价值。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但补贴按投资额的一定比例发放（各地各专项不同，常见 10%–30%），因此实际到手金额远小于可申报基数，改变不了两个中心的现金流量级。基准测算仍未计入任何补贴。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更对口的工具是研发费用加计扣除 —— 它覆盖研发人员人工费用，正好命中最大的科目。详见 8.6。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8.5 第四年起的稳态运营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三年投入中约 39% 是人员成本，也就是说这笔钱主要不是「建设投资」而是运营支出。两个中心都是常设组织，没有「建完就不花钱」的阶段。投资决策要看的是两个数：三年累计，以及第四年起的年度稳态。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182"/>
        <w:gridCol w:w="3183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科目</w:t>
            </w:r>
          </w:p>
        </w:tc>
        <w:tc>
          <w:tcPr>
            <w:tcW w:type="dxa" w:w="318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年度金额</w:t>
            </w:r>
          </w:p>
        </w:tc>
        <w:tc>
          <w:tcPr>
            <w:tcW w:type="dxa" w:w="3183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运营人力（15 人满编）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501–830 万</w:t>
            </w:r>
          </w:p>
        </w:tc>
        <w:tc>
          <w:tcPr>
            <w:tcW w:type="dxa" w:w="31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 9 人（7 人计薪）+ 渠道中心 6 人</w:t>
            </w:r>
          </w:p>
        </w:tc>
      </w:tr>
      <w:tr>
        <w:tc>
          <w:tcPr>
            <w:tcW w:type="dxa" w:w="299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平台年度技术服务费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74–250 万</w:t>
            </w:r>
          </w:p>
        </w:tc>
        <w:tc>
          <w:tcPr>
            <w:tcW w:type="dxa" w:w="318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按采购额 15–20%/年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机房托管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15–45 万</w:t>
            </w:r>
          </w:p>
        </w:tc>
        <w:tc>
          <w:tcPr>
            <w:tcW w:type="dxa" w:w="31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需询价</w:t>
            </w:r>
          </w:p>
        </w:tc>
      </w:tr>
      <w:tr>
        <w:tc>
          <w:tcPr>
            <w:tcW w:type="dxa" w:w="2995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其他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87–145 万</w:t>
            </w:r>
          </w:p>
        </w:tc>
        <w:tc>
          <w:tcPr>
            <w:tcW w:type="dxa" w:w="3183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稳态小计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677–1,270 万 / 年</w:t>
            </w:r>
          </w:p>
        </w:tc>
        <w:tc>
          <w:tcPr>
            <w:tcW w:type="dxa" w:w="31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两项未定值，但必须让读者知道它们存在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开发迭代 —— 三年后能力不会停止演进。继续包给外包方（年度框架合同）还是转内部承接，这个决定尚未做出。若维持外包，按阶段三规模的一半估，年度约 150–350 万。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硬件更新 —— GPU 三年后面临换代。635–870 万的设备要不要续、按什么周期折旧，需财务定政策。这笔钱不出现在稳态表里，但它会在第四年前后一次性回来。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把这两项计入，稳态年度支出的实际量级约 830–1,620 万。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8.6 未计入基准的上行项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744"/>
        <w:gridCol w:w="3370"/>
      </w:tblGrid>
      <w:tr>
        <w:trPr>
          <w:tblHeader/>
        </w:trPr>
        <w:tc>
          <w:tcPr>
            <w:tcW w:type="dxa" w:w="224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74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为什么与本规划对口</w:t>
            </w:r>
          </w:p>
        </w:tc>
        <w:tc>
          <w:tcPr>
            <w:tcW w:type="dxa" w:w="337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前置动作</w:t>
            </w:r>
          </w:p>
        </w:tc>
      </w:tr>
      <w:tr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研发费用加计扣除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机制上覆盖研发人员人工费用，正好命中最大科目。不是拨款而是税前扣除，但对本规划的支出结构而言，实际影响可能大于技改补贴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需确认能力中心的工作能否被认定为研发活动，并按研发项目建立辅助账。建议阶段一期间与税务顾问确认口径</w:t>
            </w:r>
          </w:p>
        </w:tc>
      </w:tr>
      <w:tr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技改类专项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覆盖硬件与平台买断，见 8.4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申报须提交供应商合同与发票，合同金额进入官方留档，签约主体须与实际交付主体一致</w:t>
            </w:r>
          </w:p>
        </w:tc>
      </w:tr>
      <w:tr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人才政策（个人侧）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不降低公司人力成本，但显著提升招聘竞争力 —— 而本规划最大的风险恰恰是关键岗位招不到人</w:t>
            </w:r>
          </w:p>
        </w:tc>
        <w:tc>
          <w:tcPr>
            <w:tcW w:type="dxa" w:w="3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由渠道中心政府关系线对接，纳入招聘方案而非预算</w:t>
            </w:r>
          </w:p>
        </w:tc>
      </w:tr>
      <w:tr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临港本地算力资源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若园区或区域内有可用智算中心或算力补贴，硬件方案需重新测算</w:t>
            </w:r>
          </w:p>
        </w:tc>
        <w:tc>
          <w:tcPr>
            <w:tcW w:type="dxa" w:w="337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尚未获取，建议阶段一期间摸清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8.7 收入侧结构（阶段三起）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能力中心在阶段三具备对入驻企业收费的条件，由渠道中心承接销售。此处只给结构，不给收入预测 —— 单价与企业数量均由招商进度决定。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182"/>
        <w:gridCol w:w="3744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收入形式</w:t>
            </w:r>
          </w:p>
        </w:tc>
        <w:tc>
          <w:tcPr>
            <w:tcW w:type="dxa" w:w="318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计价基础</w:t>
            </w:r>
          </w:p>
        </w:tc>
        <w:tc>
          <w:tcPr>
            <w:tcW w:type="dxa" w:w="374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前置条件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能力订阅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按企业 / 按能力包 / 按调用量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配方保密分级已定；数据隔离方案已写入入驻协议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认证代办与咨询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按项目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认证智能体阶段一已验证；须配套人工审核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招商匹配服务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按成功入驻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企业库与产业链模型已建成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参数下发与产线赋能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按承接方 / 按批次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见 6.4.5：责任划分与配方保密分级须先写入承接协议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知识资产授权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按授权范围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知识产权归属须先行明确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盈亏平衡的量级关系：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稳态年度运营成本 677–1,270 万（计入开发迭代与硬件更新则为 830–1,620 万）。若以能力订阅为主要收入形式：按稳态小计计，年费 20 万元/家需 34–64 家、50 万元/家需 14–25 家；按计入迭代与更新后计，则分别需 42–81 家与 17–33 家。单价与可达企业数均须调研确定，此处仅示意量级，不作为收入预测。</w:t>
      </w:r>
    </w:p>
    <w:tbl>
      <w:tblPr>
        <w:tblW w:type="dxa" w:w="9360"/>
        <w:tblBorders>
          <w:top w:val="single" w:color="C9D6DD" w:sz="2"/>
          <w:left w:val="single" w:color="1F4E5F" w:sz="18"/>
          <w:bottom w:val="single" w:color="C9D6DD" w:sz="2"/>
          <w:right w:val="single" w:color="C9D6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5F"/>
                <w:sz w:val="21"/>
                <w:szCs w:val="21"/>
              </w:rPr>
              <w:t xml:space="preserve">一条判断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上述量级意味着单靠入驻企业的能力订阅很难独立支撑两个中心。更现实的结构是：材料主业承担基本盘，能力订阅与产线赋能收入作为增量与估值支撑，政策资源作为上行项。</w:t>
            </w:r>
          </w:p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把两个中心的成本全部押在订阅收入上，是这类规划最常见的过度乐观。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九 · 风险、依赖与退出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9.1 主要风险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744"/>
        <w:gridCol w:w="3182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374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18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负责人岗位空缺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既懂业务又能判断技术可行性的人稀缺。此岗位由不合适的人担任，比空缺危害更大。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宁可推迟启动，也不降格录用；可考虑阶段一由外部顾问过渡，同时内部培养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业务专家不投入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「有空时配合一下」在同类项目中是失败主因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写入部门考核，固定工时投入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架构缺口未解决即上产线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生产场景需要边缘节点，属架构级新增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阶段二立项前定清补法，未定不启动生产智能体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指标在无基线时被写进承诺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承诺后须按其交付，且无法验证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基线采集完成前不定值，本规划已按此执行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下游付费意愿不足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阶段三收入假设的核心变量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阶段二结束前完成付费意愿调研，据此决定阶段三规模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平台供应商依赖</w:t>
            </w:r>
          </w:p>
        </w:tc>
        <w:tc>
          <w:tcPr>
            <w:tcW w:type="dxa" w:w="374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平台为引入，非自研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见 9.3 退出机制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9.2 对客户方的依赖事项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以下事项须由谷千禾决策，能力中心只执行。任一项悬空，对应能力无法交付。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数据分级——定清哪些数据绝对不能出厂区，决定部署形态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配方保密分级——哪些可对下游开放、开到什么颗粒度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批次编码规则——业务决策，非技术决策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缺陷类型与判定标准——同时作为视觉厂商的交付要求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碳足迹核算边界与方法学——不同标准的边界与因子不同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客户资源对下游的开放方式——商务与法律问题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入驻企业数据隔离方案——须写入入驻协议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现状基线数据——指标定值的前提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点位表——数字化第一份交付物，也是基础设施概算的输入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9.3 平台退出机制（尽调必问）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技术平台为引入，因此「能不能换供应商」是投资人应当追问的问题。建议在采购合同中明确以下四项，并在尽调材料中如实披露：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69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须在合同中明确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数据可携带性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导出格式、是否包含关系结构、导出时效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配置与文档交接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交接范围与形式</w:t>
            </w:r>
          </w:p>
        </w:tc>
      </w:tr>
      <w:t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过渡期支持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终止后的配合期限与计价</w:t>
            </w:r>
          </w:p>
        </w:tc>
      </w:tr>
      <w:tr>
        <w:tc>
          <w:tcPr>
            <w:tcW w:type="dxa" w:w="2434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源码托管</w:t>
            </w:r>
          </w:p>
        </w:tc>
        <w:tc>
          <w:tcPr>
            <w:tcW w:type="dxa" w:w="692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是否接受第三方 escrow —— 该安排可显著降低对单一供应商的依赖顾虑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产权方面，至少须明确：客户业务数据归谷千禾（此条无讨论空间）；平台底层与通用能力的归属；为本项目定制开发部分的归属或授权方式；基于谷千禾数据训练所得模型的归属（争议高发区）；工艺知识库内容的归属——它在本规划中被列为可复用资产，归属不清则无法计入估值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附录 A · 待核定清单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下列事项在本规划中标注为待定，须在对应时点前确定。清单本身即是阶段一的工作项之一。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4306"/>
      </w:tblGrid>
      <w:tr>
        <w:trPr>
          <w:tblHeader/>
        </w:trPr>
        <w:tc>
          <w:tcPr>
            <w:tcW w:type="dxa" w:w="318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187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须确定时点</w:t>
            </w:r>
          </w:p>
        </w:tc>
        <w:tc>
          <w:tcPr>
            <w:tcW w:type="dxa" w:w="430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平台计价方式与报价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立项前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三年总额的最大不确定项</w:t>
            </w:r>
          </w:p>
        </w:tc>
      </w:tr>
      <w:tr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能力中心负责人人选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启动前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规划成立的前提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现状基线数据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 M1–M3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指标定值</w:t>
            </w:r>
          </w:p>
        </w:tc>
      </w:tr>
      <w:tr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点位表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阶段一末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基础设施概算输入；阶段二启动前提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数据分级结论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阶段一末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部署形态</w:t>
            </w:r>
          </w:p>
        </w:tc>
      </w:tr>
      <w:tr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边缘节点补法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阶段二立项前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生产智能体可行性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配方保密分级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阶段二末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阶段三开放范围</w:t>
            </w:r>
          </w:p>
        </w:tc>
      </w:tr>
      <w:tr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下游付费意愿调研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阶段二末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阶段三收入假设</w:t>
            </w:r>
          </w:p>
        </w:tc>
      </w:tr>
      <w:tr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临港算力资源与政策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阶段一期间</w:t>
            </w:r>
          </w:p>
        </w:tc>
        <w:tc>
          <w:tcPr>
            <w:tcW w:type="dxa" w:w="43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成本区间可能显著改变</w:t>
            </w:r>
          </w:p>
        </w:tc>
      </w:tr>
      <w:tr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知识产权与退出条款</w:t>
            </w:r>
          </w:p>
        </w:tc>
        <w:tc>
          <w:tcPr>
            <w:tcW w:type="dxa" w:w="187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合同签署前</w:t>
            </w:r>
          </w:p>
        </w:tc>
        <w:tc>
          <w:tcPr>
            <w:tcW w:type="dxa" w:w="430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资产可否计入估值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附录 B · 预算测算依据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182"/>
        <w:gridCol w:w="3932"/>
      </w:tblGrid>
      <w:tr>
        <w:trPr>
          <w:tblHeader/>
        </w:trPr>
        <w:tc>
          <w:tcPr>
            <w:tcW w:type="dxa" w:w="224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测算项</w:t>
            </w:r>
          </w:p>
        </w:tc>
        <w:tc>
          <w:tcPr>
            <w:tcW w:type="dxa" w:w="318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取值</w:t>
            </w:r>
          </w:p>
        </w:tc>
        <w:tc>
          <w:tcPr>
            <w:tcW w:type="dxa" w:w="3932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应用工程师年薪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30–50 万</w:t>
            </w:r>
          </w:p>
        </w:tc>
        <w:tc>
          <w:tcPr>
            <w:tcW w:type="dxa" w:w="39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上海地区 AI 研发 / 算法工程师年薪 24–60 万，76%–81% 的岗位月薪在 2–5 万区间；本科平均月薪 3.14 万，应届 2.13–2.63 万</w:t>
            </w:r>
          </w:p>
        </w:tc>
      </w:tr>
      <w:tr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企业用工成本系数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税前年薪 × 1.35</w:t>
            </w:r>
          </w:p>
        </w:tc>
        <w:tc>
          <w:tcPr>
            <w:tcW w:type="dxa" w:w="393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含社保、公积金及其他用工成本的通用测算系数</w:t>
            </w:r>
          </w:p>
        </w:tc>
      </w:tr>
      <w:tr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GPU 月租（8 卡整机）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3.5–8 万元 / 台</w:t>
            </w:r>
          </w:p>
        </w:tc>
        <w:tc>
          <w:tcPr>
            <w:tcW w:type="dxa" w:w="39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 计价单位存疑：公开报价多不注明单卡或整机。按整机口径取值，依据是回本周期反推——8 卡 H20（141G）整机采购价百万量级，月租 3.5 万元对应 26–34 个月回本，与折旧周期吻合；若按单卡则三四个月回本，非真实市场价。须逐家询价并在合同写明单位。</w:t>
            </w:r>
          </w:p>
        </w:tc>
      </w:tr>
      <w:tr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GPU 型号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H20 141G（HBM3e）</w:t>
            </w:r>
          </w:p>
        </w:tc>
        <w:tc>
          <w:tcPr>
            <w:tcW w:type="dxa" w:w="393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H20 有 96GB（HBM3）与 141GB（HBM3e，带宽 4.8TB/s）两版，96GB 版据称已停产。询价须指明版本。</w:t>
            </w:r>
          </w:p>
        </w:tc>
      </w:tr>
      <w:tr>
        <w:tc>
          <w:tcPr>
            <w:tcW w:type="dxa" w:w="2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算力市场趋势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年增速 20% 以上</w:t>
            </w:r>
          </w:p>
        </w:tc>
        <w:tc>
          <w:tcPr>
            <w:tcW w:type="dxa" w:w="39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 年中国 AI 算力租赁市场规模约 2,600 亿元；区域价差反映「近需求」与「近电力」的结构性取舍</w:t>
            </w:r>
          </w:p>
        </w:tc>
      </w:tr>
      <w:tr>
        <w:tc>
          <w:tcPr>
            <w:tcW w:type="dxa" w:w="2246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平台采购</w:t>
            </w:r>
          </w:p>
        </w:tc>
        <w:tc>
          <w:tcPr>
            <w:tcW w:type="dxa" w:w="318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需询价</w:t>
            </w:r>
          </w:p>
        </w:tc>
        <w:tc>
          <w:tcPr>
            <w:tcW w:type="dxa" w:w="3932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计价方式未定，不以估值代替报价</w:t>
            </w:r>
          </w:p>
        </w:tc>
      </w:tr>
    </w:tbl>
    <w:p>
      <w:pPr>
        <w:spacing w:after="120" w:before="16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口径说明：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薪资与算力价格均随市场波动，且区域、租期、议价能力影响显著。本附录记录的是测算时点的公开市场水平与出处，用于说明区间的来源，不构成报价。正式立项前应重新取价。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31" w:hanging="259"/>
      </w:pPr>
    </w:lvl>
    <w:lvl w:ilvl="1" w15:tentative="1">
      <w:start w:val="1"/>
      <w:numFmt w:val="bullet"/>
      <w:lvlText w:val="-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稻生万物 · AI 能力中心建设规划</dc:title>
  <dc:creator>稻生万物</dc:creator>
  <cp:lastModifiedBy>Un-named</cp:lastModifiedBy>
  <cp:revision>1</cp:revision>
  <dcterms:created xsi:type="dcterms:W3CDTF">2026-08-06T08:05:55.463Z</dcterms:created>
  <dcterms:modified xsi:type="dcterms:W3CDTF">2026-08-06T08:05:55.463Z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