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l6g7m2wamvpk" w:id="0"/>
      <w:bookmarkEnd w:id="0"/>
      <w:r w:rsidDel="00000000" w:rsidR="00000000" w:rsidRPr="00000000">
        <w:rPr>
          <w:b w:val="1"/>
          <w:color w:val="1b1c1d"/>
          <w:sz w:val="46"/>
          <w:szCs w:val="46"/>
          <w:rtl w:val="0"/>
        </w:rPr>
        <w:t xml:space="preserve">A Comprehensive Analysis of Nuclear Receptor Signaling and Its Role in Metazoan Physiology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tf9fqxdefxj" w:id="1"/>
      <w:bookmarkEnd w:id="1"/>
      <w:r w:rsidDel="00000000" w:rsidR="00000000" w:rsidRPr="00000000">
        <w:rPr>
          <w:b w:val="1"/>
          <w:color w:val="1b1c1d"/>
          <w:sz w:val="34"/>
          <w:szCs w:val="34"/>
          <w:rtl w:val="0"/>
        </w:rPr>
        <w:t xml:space="preserve">1. The Nuclear Receptor Superfamily: A Foundational Overview of Structure and Mechanism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k6ujjl4qy04" w:id="2"/>
      <w:bookmarkEnd w:id="2"/>
      <w:r w:rsidDel="00000000" w:rsidR="00000000" w:rsidRPr="00000000">
        <w:rPr>
          <w:b w:val="1"/>
          <w:color w:val="1b1c1d"/>
          <w:sz w:val="26"/>
          <w:szCs w:val="26"/>
          <w:rtl w:val="0"/>
        </w:rPr>
        <w:t xml:space="preserve">1.1. Classification and Physiological Roles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nuclear receptor (NR) superfamily represents a large and phylogenetically conserved group of intracellular proteins that function as ligand-inducible transcription factors.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Unlike receptors found on the cell surface, these proteins are unique to metazoan organisms, including nematodes, insects, and vertebrates.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They play indispensable roles in orchestrating gene expression in response to a wide array of lipophilic molecules, thereby regulating essential physiological processes such as development, differentiation, metabolic homeostasis, and detoxification of foreign substances.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classification of the NR superfamily has evolved from early systems based on ligand type or DNA-binding properties to a more systematic, phylogeny-based nomenclature grounded in sequence similarity.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has led to the current system of six subfamilies (NR1-6), with individual members and groups distinguished by differences in function, ligand binding, tissue specificity, and DNA recognition.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human genome contains 48 known nuclear receptors, a number that reflects their critical and multifaceted contributions to health and disease.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A significant number of these, for which no physiologically relevant ligand has yet been definitively identified, are classified as "orphan receptors".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ajiqoowdhwe" w:id="3"/>
      <w:bookmarkEnd w:id="3"/>
      <w:r w:rsidDel="00000000" w:rsidR="00000000" w:rsidRPr="00000000">
        <w:rPr>
          <w:b w:val="1"/>
          <w:color w:val="1b1c1d"/>
          <w:sz w:val="26"/>
          <w:szCs w:val="26"/>
          <w:rtl w:val="0"/>
        </w:rPr>
        <w:t xml:space="preserve">1.2. Conserved Domain Architecture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Despite the diversity in their functions and ligands, all nuclear receptors adhere to a remarkably conserved modular architecture comprising five functional regions.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A/B Region:</w:t>
      </w:r>
      <w:r w:rsidDel="00000000" w:rsidR="00000000" w:rsidRPr="00000000">
        <w:rPr>
          <w:color w:val="1b1c1d"/>
          <w:rtl w:val="0"/>
        </w:rPr>
        <w:t xml:space="preserve"> Located at the N-terminus, this region contains the Activation Function-1 (AF-1) domain.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AF-1 domain is structurally flexible, largely composed of unstructured coils, and contributes to transcriptional activation in a non-ligand-dependent manner.</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 Region (DNA-binding domain, DBD):</w:t>
      </w:r>
      <w:r w:rsidDel="00000000" w:rsidR="00000000" w:rsidRPr="00000000">
        <w:rPr>
          <w:color w:val="1b1c1d"/>
          <w:rtl w:val="0"/>
        </w:rPr>
        <w:t xml:space="preserve"> This central region is the most highly conserved within the entire superfamily.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composed of a canonical two-finger C4 zinc finger motif, which enables the receptor to recognize and bind to specific DNA sequences called hormone response elements (HREs) in the promoter regions of target genes.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DBD contains specific subdomains, including the proximal P-box, which determines the half-site recognized, and the distal D-box, an alpha-helix that mediates receptor dimerization.</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 Region (Hinge):</w:t>
      </w:r>
      <w:r w:rsidDel="00000000" w:rsidR="00000000" w:rsidRPr="00000000">
        <w:rPr>
          <w:color w:val="1b1c1d"/>
          <w:rtl w:val="0"/>
        </w:rPr>
        <w:t xml:space="preserve"> This flexible, unstructured region connects the DBD to the LBD, providing a degree of conformational freedom essential for the receptor's function.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 Region (Ligand-binding domain, LBD):</w:t>
      </w:r>
      <w:r w:rsidDel="00000000" w:rsidR="00000000" w:rsidRPr="00000000">
        <w:rPr>
          <w:color w:val="1b1c1d"/>
          <w:rtl w:val="0"/>
        </w:rPr>
        <w:t xml:space="preserve"> The LBD is a C-terminal domain that plays a crucial role in ligand-mediated receptor activity.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Its structure, which is typically a three-layer helical sandwich, and its often-plastic ligand-binding pocket allow it to accommodate a wide variety of ligands with diverse conformations.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 Region (Activation Function-2, AF-2):</w:t>
      </w:r>
      <w:r w:rsidDel="00000000" w:rsidR="00000000" w:rsidRPr="00000000">
        <w:rPr>
          <w:color w:val="1b1c1d"/>
          <w:rtl w:val="0"/>
        </w:rPr>
        <w:t xml:space="preserve"> Although sometimes considered part of the E region, the AF-2 domain is a helix within the LBD.</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Its conformational flexibility is critical for sensing the presence of a bound ligand, which in turn dictates the recruitment of coactivator or corepressor proteins, thereby determining the ultimate transcriptional outcome.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highly conserved nature of the DBD suggests that, despite their functional differences, these receptors are built upon a common evolutionary blueprint for DNA binding and gene regulation. At the same time, the remarkable flexibility of the LBD and the diverse modes of dimerization allow for the functional plasticity necessary to respond to a vast array of chemical signals.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j16nzdpcdf0" w:id="4"/>
      <w:bookmarkEnd w:id="4"/>
      <w:r w:rsidDel="00000000" w:rsidR="00000000" w:rsidRPr="00000000">
        <w:rPr>
          <w:b w:val="1"/>
          <w:color w:val="1b1c1d"/>
          <w:sz w:val="26"/>
          <w:szCs w:val="26"/>
          <w:rtl w:val="0"/>
        </w:rPr>
        <w:t xml:space="preserve">1.3. Mechanisms of Transcriptional Regulation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mechanism of action for nuclear receptors can be broadly categorized into two forms.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Type I receptors, such as the classical steroid hormone receptors (SHRs), typically bind to palindromic DNA repeats as homodimers in a ligand-dependent manner.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In contrast, Type II receptors, which include those for retinoids, thyroid hormones, and vitamin D, bind constitutively to direct repeat DNA elements and often form heterodimers with other superfamily members, most notably the retinoid X receptor (RXR).</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Ligand binding to the LBD is a central event that orchestrates transcriptional activity. This process is often described by the "mousetrap" model of activation, in which a lipophilic ligand enters the receptor's ligand-binding pocket, inducing a conformational change that stabilizes the receptor's structure and prevents the ligand from exiting.</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structural change, particularly in the AF-2 helix, creates a hydrophobic groove that serves as a docking site for accessory proteins known as coregulators.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Coregulators are ancillary factors that are required for efficient transcriptional regulation and are categorized as either coactivators (NCOAs) or corepressors (NCORs).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Coactivators, such as those from the p160 family, interact with the receptor to enhance transcription, while corepressors lower the transcription rate.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Many coactivators contain multiple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LXXLL</w:t>
      </w:r>
      <w:r w:rsidDel="00000000" w:rsidR="00000000" w:rsidRPr="00000000">
        <w:rPr>
          <w:color w:val="1b1c1d"/>
          <w:rtl w:val="0"/>
        </w:rPr>
        <w:t xml:space="preserve"> motifs, which are specifically recognized and bound by the AF-2 helix of ligand-activated receptors.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transcriptional outcome is not a simple on/off switch; the specific structural change induced by a full agonist, partial agonist, or inverse agonist can result in varying levels of coactivator recruitment, allowing for a finely tuned and nuanced transcriptional response.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yq6zdfltli7" w:id="5"/>
      <w:bookmarkEnd w:id="5"/>
      <w:r w:rsidDel="00000000" w:rsidR="00000000" w:rsidRPr="00000000">
        <w:rPr>
          <w:b w:val="1"/>
          <w:color w:val="1b1c1d"/>
          <w:sz w:val="34"/>
          <w:szCs w:val="34"/>
          <w:rtl w:val="0"/>
        </w:rPr>
        <w:t xml:space="preserve">2. The </w:t>
      </w:r>
      <w:r w:rsidDel="00000000" w:rsidR="00000000" w:rsidRPr="00000000">
        <w:rPr>
          <w:b w:val="1"/>
          <w:i w:val="1"/>
          <w:color w:val="1b1c1d"/>
          <w:sz w:val="34"/>
          <w:szCs w:val="34"/>
          <w:rtl w:val="0"/>
        </w:rPr>
        <w:t xml:space="preserve">C. elegans</w:t>
      </w:r>
      <w:r w:rsidDel="00000000" w:rsidR="00000000" w:rsidRPr="00000000">
        <w:rPr>
          <w:b w:val="1"/>
          <w:color w:val="1b1c1d"/>
          <w:sz w:val="34"/>
          <w:szCs w:val="34"/>
          <w:rtl w:val="0"/>
        </w:rPr>
        <w:t xml:space="preserve"> NHRs: Insights from a Model Organism</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0q0ecx994zh" w:id="6"/>
      <w:bookmarkEnd w:id="6"/>
      <w:r w:rsidDel="00000000" w:rsidR="00000000" w:rsidRPr="00000000">
        <w:rPr>
          <w:b w:val="1"/>
          <w:color w:val="1b1c1d"/>
          <w:sz w:val="26"/>
          <w:szCs w:val="26"/>
          <w:rtl w:val="0"/>
        </w:rPr>
        <w:t xml:space="preserve">2.1. Nuclear Hormone Receptor NHR-23 (NR1F1): A Key Regulator of Molting and Spermatogenesis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NHR-23, also known as NR1F1, is a single, conserved nuclear hormone receptor that plays a fundamental role in the life cycle of the nematode </w:t>
      </w:r>
      <w:r w:rsidDel="00000000" w:rsidR="00000000" w:rsidRPr="00000000">
        <w:rPr>
          <w:i w:val="1"/>
          <w:color w:val="1b1c1d"/>
          <w:rtl w:val="0"/>
        </w:rPr>
        <w:t xml:space="preserve">C. elegans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a key regulator of the molting process, a complex and periodic event in which the animal sheds its outer cuticle to grow.</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NHR-23 is the ortholog of the insect DHR3 and the mammalian RORα, highlighting its evolutionary importance.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activity of NHR-23 is tied to a finely tuned temporal mechanism: its protein and mRNA expression oscillates over the course of each larval stage, peaking in the middle of the stage and reaching its lowest point at the molt.</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rhythmic expression is essential for proper developmental progression, as depletion of the receptor leads to severe developmental delay and death.</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NHR-23 orchestrates the expression of factors involved in the remodeling of the apical extracellular matrix (aECM), which forms the cuticle.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When NHR-23 is depleted, there is aberrant localization and disorganization of key cuticle components, including the collagens ROL-6 and BLI-1, as well as the pre-cuticle factor NOAH-1.</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NHR-23 also regulates microRNAs, such as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let-7</w:t>
      </w:r>
      <w:r w:rsidDel="00000000" w:rsidR="00000000" w:rsidRPr="00000000">
        <w:rPr>
          <w:color w:val="1b1c1d"/>
          <w:rtl w:val="0"/>
        </w:rPr>
        <w:t xml:space="preserve"> and </w:t>
      </w:r>
      <w:r w:rsidDel="00000000" w:rsidR="00000000" w:rsidRPr="00000000">
        <w:rPr>
          <w:color w:val="575b5f"/>
          <w:shd w:fill="e9eef6" w:val="clear"/>
          <w:rtl w:val="0"/>
        </w:rPr>
        <w:t xml:space="preserve">lin-4</w:t>
      </w:r>
      <w:r w:rsidDel="00000000" w:rsidR="00000000" w:rsidRPr="00000000">
        <w:rPr>
          <w:color w:val="1b1c1d"/>
          <w:rtl w:val="0"/>
        </w:rPr>
        <w:t xml:space="preserve">, and a feedback loop with </w:t>
      </w:r>
      <w:r w:rsidDel="00000000" w:rsidR="00000000" w:rsidRPr="00000000">
        <w:rPr>
          <w:color w:val="575b5f"/>
          <w:shd w:fill="e9eef6" w:val="clear"/>
          <w:rtl w:val="0"/>
        </w:rPr>
        <w:t xml:space="preserve">let-7</w:t>
      </w:r>
      <w:r w:rsidDel="00000000" w:rsidR="00000000" w:rsidRPr="00000000">
        <w:rPr>
          <w:color w:val="1b1c1d"/>
          <w:rtl w:val="0"/>
        </w:rPr>
        <w:t xml:space="preserve"> suggests a mechanism for coordinating molting with developmental timing.</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more recently discovered function of NHR-23 is its critical role in spermatogenesis.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NHR-23 is constitutively expressed in sperm-producing germlines in both males and L4 hermaphrodites. The protein is essential for the production of functional sperm; its depletion leads to sterility, as the animals produce arrested primary spermatocytes instead of haploid sperm.</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Mechanistically, NHR-23 depletion causes spermatocytes to fail to progress past prometaphase I to anaphase and results in defects in chromosome condensation, cytokinesis, and the biogenesis of fibrous body-membranous organelle (FB-MO) complexes.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discovery of this independent role suggests the existence of a new NHR-23-mediated signaling module that functions separately from the previously identified SPE-44 gene regulatory network.</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9dzcwa5exvd" w:id="7"/>
      <w:bookmarkEnd w:id="7"/>
      <w:r w:rsidDel="00000000" w:rsidR="00000000" w:rsidRPr="00000000">
        <w:rPr>
          <w:b w:val="1"/>
          <w:color w:val="1b1c1d"/>
          <w:sz w:val="26"/>
          <w:szCs w:val="26"/>
          <w:rtl w:val="0"/>
        </w:rPr>
        <w:t xml:space="preserve">2.2. Nuclear Hormone Receptor NHR-6 (NR4A Homolog): Regulator of Spermatheca Organogenesis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NHR-6 is the sole NR4A nuclear receptor homolog found in </w:t>
      </w:r>
      <w:r w:rsidDel="00000000" w:rsidR="00000000" w:rsidRPr="00000000">
        <w:rPr>
          <w:i w:val="1"/>
          <w:color w:val="1b1c1d"/>
          <w:rtl w:val="0"/>
        </w:rPr>
        <w:t xml:space="preserve">C. elegans</w:t>
      </w:r>
      <w:r w:rsidDel="00000000" w:rsidR="00000000" w:rsidRPr="00000000">
        <w:rPr>
          <w:color w:val="1b1c1d"/>
          <w:rtl w:val="0"/>
        </w:rPr>
        <w:t xml:space="preserve"> and is an essential gene for the development of the spermatheca, a reproductive organ that is crucial for ovulation and fertilization.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A loss of</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nhr-6</w:t>
      </w:r>
      <w:r w:rsidDel="00000000" w:rsidR="00000000" w:rsidRPr="00000000">
        <w:rPr>
          <w:color w:val="1b1c1d"/>
          <w:rtl w:val="0"/>
        </w:rPr>
        <w:t xml:space="preserve"> function results in severe reproductive defects, and this phenotype is associated with a failure of the spermatheca cells to undergo the correct number of divisions, leading to a decreased number of cells.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role of NHR-6 in both cell proliferation and differentiation during spermatheca organogenesis highlights its precise control over this complex developmental process.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NHR-6 functions by physically and functionally interacting with other molecules. A notable partner is the </w:t>
      </w:r>
      <w:r w:rsidDel="00000000" w:rsidR="00000000" w:rsidRPr="00000000">
        <w:rPr>
          <w:color w:val="575b5f"/>
          <w:shd w:fill="e9eef6" w:val="clear"/>
          <w:rtl w:val="0"/>
        </w:rPr>
        <w:t xml:space="preserve">jun-1</w:t>
      </w:r>
      <w:r w:rsidDel="00000000" w:rsidR="00000000" w:rsidRPr="00000000">
        <w:rPr>
          <w:color w:val="1b1c1d"/>
          <w:rtl w:val="0"/>
        </w:rPr>
        <w:t xml:space="preserve"> gene, which encodes the </w:t>
      </w:r>
      <w:r w:rsidDel="00000000" w:rsidR="00000000" w:rsidRPr="00000000">
        <w:rPr>
          <w:i w:val="1"/>
          <w:color w:val="1b1c1d"/>
          <w:rtl w:val="0"/>
        </w:rPr>
        <w:t xml:space="preserve">C. elegans</w:t>
      </w:r>
      <w:r w:rsidDel="00000000" w:rsidR="00000000" w:rsidRPr="00000000">
        <w:rPr>
          <w:color w:val="1b1c1d"/>
          <w:rtl w:val="0"/>
        </w:rPr>
        <w:t xml:space="preserve"> homolog of the Jun transcription factor.</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A focused RNAi-based screen identified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jun-1</w:t>
      </w:r>
      <w:r w:rsidDel="00000000" w:rsidR="00000000" w:rsidRPr="00000000">
        <w:rPr>
          <w:color w:val="1b1c1d"/>
          <w:rtl w:val="0"/>
        </w:rPr>
        <w:t xml:space="preserve"> as a strong enhancer of the </w:t>
      </w:r>
      <w:r w:rsidDel="00000000" w:rsidR="00000000" w:rsidRPr="00000000">
        <w:rPr>
          <w:color w:val="575b5f"/>
          <w:shd w:fill="e9eef6" w:val="clear"/>
          <w:rtl w:val="0"/>
        </w:rPr>
        <w:t xml:space="preserve">nhr-6</w:t>
      </w:r>
      <w:r w:rsidDel="00000000" w:rsidR="00000000" w:rsidRPr="00000000">
        <w:rPr>
          <w:color w:val="1b1c1d"/>
          <w:rtl w:val="0"/>
        </w:rPr>
        <w:t xml:space="preserve"> loss-of-function phenotype, and a yeast two-hybrid assay confirmed a physical interaction between NHR-6 and JUN-1.</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synergistic relationship provides direct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in vivo</w:t>
      </w:r>
      <w:r w:rsidDel="00000000" w:rsidR="00000000" w:rsidRPr="00000000">
        <w:rPr>
          <w:color w:val="1b1c1d"/>
          <w:rtl w:val="0"/>
        </w:rPr>
        <w:t xml:space="preserve"> evidence that the interaction between NR4A nuclear receptors and Jun transcription factors is an essential and likely conserved mechanism in metazoan development.</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NHR-6 also promotes cell cycle progression by positively regulating the G1 phase, as its proliferation defects can be suppressed by the loss of negative G1/S regulators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fzr-1</w:t>
      </w:r>
      <w:r w:rsidDel="00000000" w:rsidR="00000000" w:rsidRPr="00000000">
        <w:rPr>
          <w:color w:val="1b1c1d"/>
          <w:rtl w:val="0"/>
        </w:rPr>
        <w:t xml:space="preserve"> and </w:t>
      </w:r>
      <w:r w:rsidDel="00000000" w:rsidR="00000000" w:rsidRPr="00000000">
        <w:rPr>
          <w:color w:val="575b5f"/>
          <w:shd w:fill="e9eef6" w:val="clear"/>
          <w:rtl w:val="0"/>
        </w:rPr>
        <w:t xml:space="preserve">lin-35</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receptor also interacts with Eph receptor signaling to promote cell proliferation, a novel finding for the NR4A family.</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NHR-6 is classified as an orphan receptor, as its endogenous ligand has not been identified.</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mcv6hcqh1vm" w:id="8"/>
      <w:bookmarkEnd w:id="8"/>
      <w:r w:rsidDel="00000000" w:rsidR="00000000" w:rsidRPr="00000000">
        <w:rPr>
          <w:b w:val="1"/>
          <w:color w:val="1b1c1d"/>
          <w:sz w:val="34"/>
          <w:szCs w:val="34"/>
          <w:rtl w:val="0"/>
        </w:rPr>
        <w:t xml:space="preserve">3. The Mammalian RORs: Orchestrators of Circadian Rhythm and Immunity</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0vngeesywgu" w:id="9"/>
      <w:bookmarkEnd w:id="9"/>
      <w:r w:rsidDel="00000000" w:rsidR="00000000" w:rsidRPr="00000000">
        <w:rPr>
          <w:b w:val="1"/>
          <w:color w:val="1b1c1d"/>
          <w:sz w:val="26"/>
          <w:szCs w:val="26"/>
          <w:rtl w:val="0"/>
        </w:rPr>
        <w:t xml:space="preserve">3.1. Nuclear Receptor ROR-alpha (RORα, NR1F1): A Master Circadian Regulator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ROR subfamily comprises three members, RORα (NR1F1), RORβ (NR1F2), and RORγ (NR1F3), with RORα being a key regulator of diverse physiological processes, including circadian rhythms, lipid and glucose metabolism, and immunity.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RORα is expressed in a variety of tissues, including the liver, brain, skeletal muscle, and adipose tissue.</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Unlike many other nuclear receptors that require a ligand to be active, RORα is constitutively active, meaning it binds to coactivator proteins and activates transcription even in the absence of an external ligand.</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It functions as a monomer, binding to specific DNA sequences known as ROR response elements (ROREs), which typically consist of an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AGGTCA</w:t>
      </w:r>
      <w:r w:rsidDel="00000000" w:rsidR="00000000" w:rsidRPr="00000000">
        <w:rPr>
          <w:color w:val="1b1c1d"/>
          <w:rtl w:val="0"/>
        </w:rPr>
        <w:t xml:space="preserve"> half-site with a 5' AT-rich extension.</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 the context of the circadian clock, RORα positively regulates the expression of the core circadian gene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Bmal1</w:t>
      </w:r>
      <w:r w:rsidDel="00000000" w:rsidR="00000000" w:rsidRPr="00000000">
        <w:rPr>
          <w:color w:val="1b1c1d"/>
          <w:rtl w:val="0"/>
        </w:rPr>
        <w:t xml:space="preserve"> by competing with the inverse regulator REV-ERBα for the same ROREs, thereby interconnecting the positive and negative arms of the clock.</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discovery of endogenous ligands for RORα has provided a crucial link between its activity and metabolic state.</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While cholesterol and cholesterol sulfate have been suggested as ligands, their physiological significance remains unclear.</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However, recent research has demonstrated that 7-oxygenated sterols, such as 7$\alpha$-hydroxycholesterol (7$\alpha$-OHC), function as high-affinity ligands that can suppress RORα's transcriptional activity.</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is a powerful demonstration of an "inverse agonist" mechanism, where a ligand binding to a constitutively active receptor leads to a decrease in its basal transcriptional activity.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list of known modulators is growing, with synthetic agonists like SR1078 and Cintirorgon, and inverse agonists such as T0901317, SR3335, and SR1001 being developed as potential therapeutic agents.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Ligands and Modulators of ROR$\alpha$ and ROR$\gamma$</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130"/>
        <w:gridCol w:w="1740"/>
        <w:gridCol w:w="2775"/>
        <w:tblGridChange w:id="0">
          <w:tblGrid>
            <w:gridCol w:w="2385"/>
            <w:gridCol w:w="2130"/>
            <w:gridCol w:w="1740"/>
            <w:gridCol w:w="277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Molecule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Target Receptor(s)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Type of Ligand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Description of Effect</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7$\alpha$-hydroxycholesterol (7$\alpha$-OHC)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ROR$\alpha$, ROR$\gamma$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Endogenous 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Suppresses transcriptional activity and modulates expression of target genes like </w:t>
            </w:r>
            <w:r w:rsidDel="00000000" w:rsidR="00000000" w:rsidRPr="00000000">
              <w:rPr>
                <w:color w:val="575b5f"/>
                <w:shd w:fill="e9eef6" w:val="clear"/>
                <w:rtl w:val="0"/>
              </w:rPr>
              <w:t xml:space="preserve">Glc-6-Pase</w:t>
            </w:r>
            <w:r w:rsidDel="00000000" w:rsidR="00000000" w:rsidRPr="00000000">
              <w:rPr>
                <w:color w:val="1b1c1d"/>
                <w:rtl w:val="0"/>
              </w:rPr>
              <w:t xml:space="preserve"> and </w:t>
            </w:r>
            <w:r w:rsidDel="00000000" w:rsidR="00000000" w:rsidRPr="00000000">
              <w:rPr>
                <w:color w:val="575b5f"/>
                <w:shd w:fill="e9eef6" w:val="clear"/>
                <w:rtl w:val="0"/>
              </w:rPr>
              <w:t xml:space="preserve">phosphoenolpyruvate carboxykinase</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21</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T0901317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ROR$\alpha$, ROR$\gamma$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Dual Inverse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Binds to the LBD and inhibits the basal constitutive activity of the receptors.</w:t>
            </w:r>
            <w:r w:rsidDel="00000000" w:rsidR="00000000" w:rsidRPr="00000000">
              <w:rPr>
                <w:color w:val="575b5f"/>
                <w:sz w:val="40"/>
                <w:szCs w:val="40"/>
                <w:highlight w:val="white"/>
                <w:vertAlign w:val="superscript"/>
                <w:rtl w:val="0"/>
              </w:rPr>
              <w:t xml:space="preserve">22</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Nobiletin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RORs (general)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 poly-methoxylated flavone that acts as a ROR agonist and has anti-inflammatory properties.</w:t>
            </w:r>
            <w:r w:rsidDel="00000000" w:rsidR="00000000" w:rsidRPr="00000000">
              <w:rPr>
                <w:color w:val="575b5f"/>
                <w:sz w:val="40"/>
                <w:szCs w:val="40"/>
                <w:highlight w:val="white"/>
                <w:vertAlign w:val="superscript"/>
                <w:rtl w:val="0"/>
              </w:rPr>
              <w:t xml:space="preserve">22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SR1078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ROR$\alpha$, ROR$\gamma$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Selective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Binds to the LBD and increases the transcriptional activity of the receptors.</w:t>
            </w:r>
            <w:r w:rsidDel="00000000" w:rsidR="00000000" w:rsidRPr="00000000">
              <w:rPr>
                <w:color w:val="575b5f"/>
                <w:sz w:val="40"/>
                <w:szCs w:val="40"/>
                <w:highlight w:val="white"/>
                <w:vertAlign w:val="superscript"/>
                <w:rtl w:val="0"/>
              </w:rPr>
              <w:t xml:space="preserve">22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SR3335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ROR$\alpha$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Selective Inverse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Directly binds to ROR$\alpha$ with high affinity, inhibiting its function.</w:t>
            </w:r>
            <w:r w:rsidDel="00000000" w:rsidR="00000000" w:rsidRPr="00000000">
              <w:rPr>
                <w:color w:val="575b5f"/>
                <w:sz w:val="40"/>
                <w:szCs w:val="40"/>
                <w:highlight w:val="white"/>
                <w:vertAlign w:val="superscript"/>
                <w:rtl w:val="0"/>
              </w:rPr>
              <w:t xml:space="preserve">22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SR1001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ROR$\alpha$, ROR$\gamma$t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Selective Inverse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Acts as an inverse agonist, reducing the activity of both receptors.</w:t>
            </w:r>
            <w:r w:rsidDel="00000000" w:rsidR="00000000" w:rsidRPr="00000000">
              <w:rPr>
                <w:color w:val="575b5f"/>
                <w:sz w:val="40"/>
                <w:szCs w:val="40"/>
                <w:highlight w:val="white"/>
                <w:vertAlign w:val="superscript"/>
                <w:rtl w:val="0"/>
              </w:rPr>
              <w:t xml:space="preserve">22</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Cintirorgon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ROR$\gamma$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Selective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Modulates gene expression in ROR$\gamma$-expressing T lymphocytes, enhancing effector function.</w:t>
            </w:r>
            <w:r w:rsidDel="00000000" w:rsidR="00000000" w:rsidRPr="00000000">
              <w:rPr>
                <w:color w:val="575b5f"/>
                <w:sz w:val="40"/>
                <w:szCs w:val="40"/>
                <w:highlight w:val="white"/>
                <w:vertAlign w:val="superscript"/>
                <w:rtl w:val="0"/>
              </w:rPr>
              <w:t xml:space="preserve">22</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3-Oxo-5$\beta$-cholanoic acid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ROR$\gamma$t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Inhibitor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 bile acid metabolite that inhibits the differentiation of Th17 cells by direct binding.</w:t>
            </w:r>
            <w:r w:rsidDel="00000000" w:rsidR="00000000" w:rsidRPr="00000000">
              <w:rPr>
                <w:color w:val="575b5f"/>
                <w:sz w:val="40"/>
                <w:szCs w:val="40"/>
                <w:highlight w:val="white"/>
                <w:vertAlign w:val="superscript"/>
                <w:rtl w:val="0"/>
              </w:rPr>
              <w:t xml:space="preserve">22</w:t>
            </w:r>
          </w:p>
        </w:tc>
      </w:tr>
    </w:tbl>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6pgvmqqvwye" w:id="10"/>
      <w:bookmarkEnd w:id="10"/>
      <w:r w:rsidDel="00000000" w:rsidR="00000000" w:rsidRPr="00000000">
        <w:rPr>
          <w:b w:val="1"/>
          <w:color w:val="1b1c1d"/>
          <w:sz w:val="26"/>
          <w:szCs w:val="26"/>
          <w:rtl w:val="0"/>
        </w:rPr>
        <w:t xml:space="preserve">3.2. Nuclear Receptor ROR-gamma (RORγ, NR1F3): A Master Regulator of Th17 Cells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RORγ, like RORα, is a constitutively active nuclear receptor that functions as a monomer, binding to ROREs in the promoters of its target genes.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 is widely considered a master regulator of T helper 17 (Th17) cell differentiation, a process that is central to mucosal barrier defenses but also drives numerous inflammatory and autoimmune diseases.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RORγ is also essential for lymph node organogenesis and thymopoiesis.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For a long time, RORγ was a recognized orphan receptor with no known physiological ligands.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However, similar to RORα, 7-oxygenated sterols have been shown to function as high-affinity ligands that can suppress its transcriptional activity.</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RORα and RORγ are not functionally redundant but instead act synergistically to direct Th17 cell differentiation.</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While RORγ is a critical component of this process, RORα expression is also high in Th17 cells, and a deficiency in RORα alone leads to a reduction in IL-17 expression.</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co-expression of both receptors synergistically leads to a far greater degree of Th17 differentiation than either receptor alone.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importance of this synergy is demonstrated by the finding that double deficiencies in both RORα and RORγ globally impair Th17 generation and completely protect mice against experimental autoimmune encephalomyelitis (EAE), a model for multiple sclerosis.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relationship between these two receptors is more than just complementary; RORα actively reinforces the RORγt transcriptional program by binding to a cis-regulatory element within the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Rorc</w:t>
      </w:r>
      <w:r w:rsidDel="00000000" w:rsidR="00000000" w:rsidRPr="00000000">
        <w:rPr>
          <w:color w:val="1b1c1d"/>
          <w:rtl w:val="0"/>
        </w:rPr>
        <w:t xml:space="preserve"> locus, thereby maintaining sustained RORγt expression during chronic inflammation.</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This exemplifies a sophisticated regulatory circuit where one nuclear receptor can directly influence the expression and function of another to maintain a specific cellular program.</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x26gnoqdiu4" w:id="11"/>
      <w:bookmarkEnd w:id="11"/>
      <w:r w:rsidDel="00000000" w:rsidR="00000000" w:rsidRPr="00000000">
        <w:rPr>
          <w:b w:val="1"/>
          <w:color w:val="1b1c1d"/>
          <w:sz w:val="34"/>
          <w:szCs w:val="34"/>
          <w:rtl w:val="0"/>
        </w:rPr>
        <w:t xml:space="preserve">4. Transcriptional Coregulators and Their Receptors: The Intermediaries of Signaling</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97ryou5fx4r" w:id="12"/>
      <w:bookmarkEnd w:id="12"/>
      <w:r w:rsidDel="00000000" w:rsidR="00000000" w:rsidRPr="00000000">
        <w:rPr>
          <w:b w:val="1"/>
          <w:color w:val="1b1c1d"/>
          <w:sz w:val="26"/>
          <w:szCs w:val="26"/>
          <w:rtl w:val="0"/>
        </w:rPr>
        <w:t xml:space="preserve">4.1. Nuclear Receptor Coactivator 2 (NCOA2, SRC2, TIF2): A Central Hub in Transcriptional Networks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Nuclear receptor coactivator 2 (NCOA2), also known as SRC-2, TIF2, or GRIP1, is a key member of the p160 steroid receptor coactivator (SRC) family.</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As a central hub in transcriptional networks, it functions as an intermediary factor for the ligand-dependent activity of numerous nuclear receptors.</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NCOA2's modular domain architecture includes an N-terminal basic helix–loop–helix-PER-ARNT-SIM (bHLH-PAS) domain and a central nuclear receptor interaction domain (NRID) containing three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LXXLL</w:t>
      </w:r>
      <w:r w:rsidDel="00000000" w:rsidR="00000000" w:rsidRPr="00000000">
        <w:rPr>
          <w:color w:val="1b1c1d"/>
          <w:rtl w:val="0"/>
        </w:rPr>
        <w:t xml:space="preserve"> motifs, which are crucial for binding to its various receptor partners.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NCOA2's list of interacting partners is extensive, encompassing classic receptors for steroid hormones (AR, ER, PR, GR), retinoids (RXR, RAR), thyroid hormone (TR), and vitamin D (VDR).</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Beyond these, NCOA2 also acts as a coactivator for the orphan nuclear receptor RORα, linking RORα to the regulation of hepatic glucose release.</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Furthermore, it physically interacts with the pregnane X receptor (PXR).</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The ability of NCOA2 to interact with this vast number of nuclear receptors and other transcription factors, in addition to recruiting chromatin-modifying enzymes like histone acetyltransferases (CBP and p300), highlights its central role as a master integrator of multiple upstream signaling pathways.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NCOA2 is critical for metabolic homeostasis, including the circadian regulation of gene expression, and its dysregulation is implicated in various cancers through gene fusions and overexpression.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iepqdpkkwaj" w:id="13"/>
      <w:bookmarkEnd w:id="13"/>
      <w:r w:rsidDel="00000000" w:rsidR="00000000" w:rsidRPr="00000000">
        <w:rPr>
          <w:b w:val="1"/>
          <w:color w:val="1b1c1d"/>
          <w:sz w:val="26"/>
          <w:szCs w:val="26"/>
          <w:rtl w:val="0"/>
        </w:rPr>
        <w:t xml:space="preserve">4.2. Nuclear Receptor Subfamily 1 Group I Member 2 (PXR, NR1I2): The Master Xenobiotic Sensor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pregnane X receptor (PXR), or NR1I2, is a ligand-activated nuclear receptor that serves as a crucial xenobiotic sensor and an adaptive defense mechanism against a wide range of foreign chemicals.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Its remarkable promiscuity is attributed to its large and flexible ligand-binding pocket, which can accommodate a diverse array of structurally dissimilar compounds.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unique structural feature allows it to act as an early warning system, initiating a detoxification response by upregulating the expression of genes involved in drug metabolism and transport.</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PXR functions as a heterodimer with the retinoid X receptor (RXR).</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heterodimeric complex binds to specific DNA response elements, such as DR3, DR4, and ER6, located in the regulatory regions of its target genes.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most well-known of these targets is the Cytochrome P450 3A4 (CYP3A4) enzyme, which is responsible for metabolizing an estimated 60% of all clinically used drugs.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When activated by a ligand, PXR recruits coactivators and induces the transcription of CYP3A4, thereby accelerating drug metabolism.</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vast range of PXR activators includes both endogenous and exogenous compounds.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Endogenous ligands include pregnane steroids and bile acids.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 exogenous activators, however, are of significant clinical and pharmacological importance. This diverse list includes:</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Pharmaceutical Drugs:</w:t>
      </w:r>
      <w:r w:rsidDel="00000000" w:rsidR="00000000" w:rsidRPr="00000000">
        <w:rPr>
          <w:color w:val="1b1c1d"/>
          <w:rtl w:val="0"/>
        </w:rPr>
        <w:t xml:space="preserve"> Rifampicin, dexamethasone, lovastatin, and various anticonvulsants, antidepressants, and anti-fungals.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Natural Products:</w:t>
      </w:r>
      <w:r w:rsidDel="00000000" w:rsidR="00000000" w:rsidRPr="00000000">
        <w:rPr>
          <w:color w:val="1b1c1d"/>
          <w:rtl w:val="0"/>
        </w:rPr>
        <w:t xml:space="preserve"> Components of St. John's wort (hyperforin), cannabidiol (CBD), and traditional Chinese medicine compounds like huperzine A and ligustrazine.</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This induction of CYP3A4 by PXR is the molecular basis for a major class of dangerous drug-drug interactions, where one drug's therapeutic efficacy is diminished because a co-administered PXR activator accelerates its metabolism.</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process of PXR-mediated induction is so critical that pharmaceutical companies now widely use PXR-based assays to screen out drug candidates with this activity early in the discovery process.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Molecular Interactions of PXR (NR1I2)</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150"/>
        <w:gridCol w:w="3375"/>
        <w:tblGridChange w:id="0">
          <w:tblGrid>
            <w:gridCol w:w="2490"/>
            <w:gridCol w:w="3150"/>
            <w:gridCol w:w="337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Molecule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Type of Molecule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Effect on PXR Activity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Pregnanolone, Progesterone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Endogenous Steroid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Activates PXR.</w:t>
            </w:r>
            <w:r w:rsidDel="00000000" w:rsidR="00000000" w:rsidRPr="00000000">
              <w:rPr>
                <w:color w:val="575b5f"/>
                <w:sz w:val="40"/>
                <w:szCs w:val="40"/>
                <w:highlight w:val="white"/>
                <w:vertAlign w:val="superscript"/>
                <w:rtl w:val="0"/>
              </w:rPr>
              <w:t xml:space="preserve">33</w:t>
            </w:r>
          </w:p>
        </w:tc>
      </w:tr>
      <w:tr>
        <w:trPr>
          <w:cantSplit w:val="0"/>
          <w:trHeight w:val="6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Endogenous Metabolite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Activates PXR.</w:t>
            </w:r>
            <w:r w:rsidDel="00000000" w:rsidR="00000000" w:rsidRPr="00000000">
              <w:rPr>
                <w:color w:val="575b5f"/>
                <w:sz w:val="40"/>
                <w:szCs w:val="40"/>
                <w:highlight w:val="white"/>
                <w:vertAlign w:val="superscript"/>
                <w:rtl w:val="0"/>
              </w:rPr>
              <w:t xml:space="preserve">32</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Rifampicin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Antibiotic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 potent activator of human PXR, leading to CYP3A4 induction.</w:t>
            </w:r>
            <w:r w:rsidDel="00000000" w:rsidR="00000000" w:rsidRPr="00000000">
              <w:rPr>
                <w:color w:val="575b5f"/>
                <w:sz w:val="40"/>
                <w:szCs w:val="40"/>
                <w:highlight w:val="white"/>
                <w:vertAlign w:val="superscript"/>
                <w:rtl w:val="0"/>
              </w:rPr>
              <w:t xml:space="preserve">7</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Dexamethasone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Synthetic Glucocorticoid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Activates PXR and induces CYP3A4 expression.</w:t>
            </w:r>
            <w:r w:rsidDel="00000000" w:rsidR="00000000" w:rsidRPr="00000000">
              <w:rPr>
                <w:color w:val="575b5f"/>
                <w:sz w:val="40"/>
                <w:szCs w:val="40"/>
                <w:highlight w:val="white"/>
                <w:vertAlign w:val="superscript"/>
                <w:rtl w:val="0"/>
              </w:rPr>
              <w:t xml:space="preserve">7</w:t>
            </w:r>
          </w:p>
        </w:tc>
      </w:tr>
      <w:tr>
        <w:trPr>
          <w:cantSplit w:val="0"/>
          <w:trHeight w:val="6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Lovastatin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Antihypercholesterolemic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Activates PXR.</w:t>
            </w:r>
            <w:r w:rsidDel="00000000" w:rsidR="00000000" w:rsidRPr="00000000">
              <w:rPr>
                <w:color w:val="575b5f"/>
                <w:sz w:val="40"/>
                <w:szCs w:val="40"/>
                <w:highlight w:val="white"/>
                <w:vertAlign w:val="superscript"/>
                <w:rtl w:val="0"/>
              </w:rPr>
              <w:t xml:space="preserve">7</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St. John's wort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Herbal Antidepressant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Activates PXR via its constituent, hyperforin.</w:t>
            </w:r>
            <w:r w:rsidDel="00000000" w:rsidR="00000000" w:rsidRPr="00000000">
              <w:rPr>
                <w:color w:val="575b5f"/>
                <w:sz w:val="40"/>
                <w:szCs w:val="40"/>
                <w:highlight w:val="white"/>
                <w:vertAlign w:val="superscript"/>
                <w:rtl w:val="0"/>
              </w:rPr>
              <w:t xml:space="preserve">6</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Huperzine A, Ligustrazine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Traditional Chinese Medicine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Activators of PXR that induce CYP3A4 expression.</w:t>
            </w:r>
            <w:r w:rsidDel="00000000" w:rsidR="00000000" w:rsidRPr="00000000">
              <w:rPr>
                <w:color w:val="575b5f"/>
                <w:sz w:val="40"/>
                <w:szCs w:val="40"/>
                <w:highlight w:val="white"/>
                <w:vertAlign w:val="superscript"/>
                <w:rtl w:val="0"/>
              </w:rPr>
              <w:t xml:space="preserve">39</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CBD (Cannabidiol)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Natural Product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 selective PXR agonist that increases cholesterol uptake and can contribute to dyslipidemia.</w:t>
            </w:r>
            <w:r w:rsidDel="00000000" w:rsidR="00000000" w:rsidRPr="00000000">
              <w:rPr>
                <w:color w:val="575b5f"/>
                <w:sz w:val="40"/>
                <w:szCs w:val="40"/>
                <w:highlight w:val="white"/>
                <w:vertAlign w:val="superscript"/>
                <w:rtl w:val="0"/>
              </w:rPr>
              <w:t xml:space="preserve">6</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RXR$\alpha$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Heterodimer Partner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Forms a functional heterodimer with PXR, which is required for DNA binding.</w:t>
            </w:r>
            <w:r w:rsidDel="00000000" w:rsidR="00000000" w:rsidRPr="00000000">
              <w:rPr>
                <w:color w:val="575b5f"/>
                <w:sz w:val="40"/>
                <w:szCs w:val="40"/>
                <w:highlight w:val="white"/>
                <w:vertAlign w:val="superscript"/>
                <w:rtl w:val="0"/>
              </w:rPr>
              <w:t xml:space="preserve">32</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NCOA1, NCOA2 (SRC-1, SRC-2)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Transcriptional Coactivators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PXR recruits these coactivators to the DNA, leading to gene transcription.</w:t>
            </w:r>
            <w:r w:rsidDel="00000000" w:rsidR="00000000" w:rsidRPr="00000000">
              <w:rPr>
                <w:color w:val="575b5f"/>
                <w:sz w:val="40"/>
                <w:szCs w:val="40"/>
                <w:highlight w:val="white"/>
                <w:vertAlign w:val="superscript"/>
                <w:rtl w:val="0"/>
              </w:rPr>
              <w:t xml:space="preserve">33</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CYP3A4, ABCB1/MDR1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Target Genes/Proteins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The expression of these genes is directly upregulated by PXR.</w:t>
            </w:r>
            <w:r w:rsidDel="00000000" w:rsidR="00000000" w:rsidRPr="00000000">
              <w:rPr>
                <w:color w:val="575b5f"/>
                <w:sz w:val="40"/>
                <w:szCs w:val="40"/>
                <w:highlight w:val="white"/>
                <w:vertAlign w:val="superscript"/>
                <w:rtl w:val="0"/>
              </w:rPr>
              <w:t xml:space="preserve">7</w:t>
            </w:r>
          </w:p>
        </w:tc>
      </w:tr>
    </w:tbl>
    <w:p w:rsidR="00000000" w:rsidDel="00000000" w:rsidP="00000000" w:rsidRDefault="00000000" w:rsidRPr="00000000" w14:paraId="000000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bp57unc1hz" w:id="14"/>
      <w:bookmarkEnd w:id="14"/>
      <w:r w:rsidDel="00000000" w:rsidR="00000000" w:rsidRPr="00000000">
        <w:rPr>
          <w:b w:val="1"/>
          <w:color w:val="1b1c1d"/>
          <w:sz w:val="34"/>
          <w:szCs w:val="34"/>
          <w:rtl w:val="0"/>
        </w:rPr>
        <w:t xml:space="preserve">5. The Orphan Receptor COUP-TFI: A Developmental Master Regulator</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lpsvz6i34y1" w:id="15"/>
      <w:bookmarkEnd w:id="15"/>
      <w:r w:rsidDel="00000000" w:rsidR="00000000" w:rsidRPr="00000000">
        <w:rPr>
          <w:b w:val="1"/>
          <w:color w:val="1b1c1d"/>
          <w:sz w:val="26"/>
          <w:szCs w:val="26"/>
          <w:rtl w:val="0"/>
        </w:rPr>
        <w:t xml:space="preserve">5.1. Developmental Roles and Tissue Expression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Chicken ovalbumin upstream promoter transcription factor 1 (COUP-TFI), also known as NR2F1, is an orphan nuclear receptor that is broadly and indispensably expressed during embryonic development.</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particularly crucial for proper organogenesis, with its expression largely confined to the central nervous system (CNS) during early development, unlike its closely related paralog COUP-TFII.</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Within the CNS, COUP-TFI acts as a central regulator of a wide array of processes, including nervous system development, cortical gyrification, neuronal migration, and the intricate axonal growth and guidance that establishes connections between different brain regions.</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It is also involved in the differentiation of oligodendrocytes, which are essential for axon myelination.</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b78pmvfxusf" w:id="16"/>
      <w:bookmarkEnd w:id="16"/>
      <w:r w:rsidDel="00000000" w:rsidR="00000000" w:rsidRPr="00000000">
        <w:rPr>
          <w:b w:val="1"/>
          <w:color w:val="1b1c1d"/>
          <w:sz w:val="26"/>
          <w:szCs w:val="26"/>
          <w:rtl w:val="0"/>
        </w:rPr>
        <w:t xml:space="preserve">5.2. Molecular Mechanisms of Action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As a transcriptional regulator, COUP-TFI is unique in its ability to function as both an activator and a repressor of gene expression.</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While it can positively regulate genes through interactions with other transcription factors like Sp1 </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its repressive functions are particularly well-characterized. COUP-TFI is known to negatively regulate the activity of other nuclear receptors, including those for vitamin D (VDR), thyroid hormone (TR), and retinoids (RAR).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repression is achieved through a variety of sophisticated mechanisms, including direct competition for DNA binding sites.</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Furthermore, COUP-TFI can reduce the available concentration of the common heterodimerization partner, RXR, effectively sequestering it and thereby inhibiting the transcriptional potential of other receptors that rely on an RXR partnership for their function.</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Interestingly, COUP-TFI can also mediate transcriptional repression in a manner that does not appear to involve the recruitment of a histone deacetylase, suggesting a non-canonical repressive pathway that is distinct from those used by many other nuclear receptors.</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As an orphan receptor, its endogenous ligand remains unknown, but its functions as a master regulator of development are well-established.</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fact that it can repress the entire signaling cascade of another receptor by sequestering its partner demonstrates a powerful and nuanced control mechanism within developmental networks.</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7tilpb37pwq" w:id="17"/>
      <w:bookmarkEnd w:id="17"/>
      <w:r w:rsidDel="00000000" w:rsidR="00000000" w:rsidRPr="00000000">
        <w:rPr>
          <w:b w:val="1"/>
          <w:color w:val="1b1c1d"/>
          <w:sz w:val="26"/>
          <w:szCs w:val="26"/>
          <w:rtl w:val="0"/>
        </w:rPr>
        <w:t xml:space="preserve">5.3. Link to Bosch-Boonstra-Schaaf Optic Atrophy Syndrome (BBSOAS)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critical developmental role of COUP-TFI is underscored by its direct link to a human genetic disorder. Haploinsufficiency of the </w:t>
      </w:r>
      <w:r w:rsidDel="00000000" w:rsidR="00000000" w:rsidRPr="00000000">
        <w:rPr>
          <w:i w:val="1"/>
          <w:color w:val="1b1c1d"/>
          <w:rtl w:val="0"/>
        </w:rPr>
        <w:t xml:space="preserve">NR2F1</w:t>
      </w:r>
      <w:r w:rsidDel="00000000" w:rsidR="00000000" w:rsidRPr="00000000">
        <w:rPr>
          <w:color w:val="1b1c1d"/>
          <w:rtl w:val="0"/>
        </w:rPr>
        <w:t xml:space="preserve"> gene is the direct genetic cause of Bosch-Boonstra-Schaaf optic atrophy syndrome (BBSOAS), a rare autosomal dominant condition characterized by visual impairment, developmental delay, seizures, and intellectual disability.</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Mouse models with </w:t>
      </w:r>
      <w:r w:rsidDel="00000000" w:rsidR="00000000" w:rsidRPr="00000000">
        <w:rPr>
          <w:i w:val="1"/>
          <w:color w:val="1b1c1d"/>
          <w:rtl w:val="0"/>
        </w:rPr>
        <w:t xml:space="preserve">Nr2f1</w:t>
      </w:r>
      <w:r w:rsidDel="00000000" w:rsidR="00000000" w:rsidRPr="00000000">
        <w:rPr>
          <w:color w:val="1b1c1d"/>
          <w:rtl w:val="0"/>
        </w:rPr>
        <w:t xml:space="preserve"> haploinsufficiency have been instrumental in unraveling the pathological mechanisms of the syndrome.</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These models faithfully recapitulate key features observed in human patients, including optic nerve atrophy and impaired hippocampal synaptic plasticity.</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 underlying cellular pathology involves an imbalance between oligodendrocytes and astrocytes, leading to postnatal hypomyelination and astrogliosis.</w:t>
      </w:r>
      <w:r w:rsidDel="00000000" w:rsidR="00000000" w:rsidRPr="00000000">
        <w:rPr>
          <w:color w:val="575b5f"/>
          <w:sz w:val="40"/>
          <w:szCs w:val="40"/>
          <w:highlight w:val="white"/>
          <w:vertAlign w:val="superscript"/>
          <w:rtl w:val="0"/>
        </w:rPr>
        <w:t xml:space="preserve">47</w:t>
      </w:r>
      <w:r w:rsidDel="00000000" w:rsidR="00000000" w:rsidRPr="00000000">
        <w:rPr>
          <w:color w:val="1b1c1d"/>
          <w:rtl w:val="0"/>
        </w:rPr>
        <w:t xml:space="preserve"> This direct causal link between a specific genetic disruption and a complex human syndrome provides a powerful example of the clinical consequences of dysregulated nuclear receptor function. Furthermore, the finding that some of these pathological features, such as hypomyelination, can be rescued by chemical drug treatment in mouse models opens a promising avenue for potential therapeutic interventions and highlights the druggable nature of even "orphan" nuclear receptor pathways.</w:t>
      </w:r>
      <w:r w:rsidDel="00000000" w:rsidR="00000000" w:rsidRPr="00000000">
        <w:rPr>
          <w:color w:val="575b5f"/>
          <w:sz w:val="40"/>
          <w:szCs w:val="40"/>
          <w:highlight w:val="white"/>
          <w:vertAlign w:val="superscript"/>
          <w:rtl w:val="0"/>
        </w:rPr>
        <w:t xml:space="preserve">47</w:t>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9m3sw4yu2x0" w:id="18"/>
      <w:bookmarkEnd w:id="18"/>
      <w:r w:rsidDel="00000000" w:rsidR="00000000" w:rsidRPr="00000000">
        <w:rPr>
          <w:b w:val="1"/>
          <w:color w:val="1b1c1d"/>
          <w:sz w:val="34"/>
          <w:szCs w:val="34"/>
          <w:rtl w:val="0"/>
        </w:rPr>
        <w:t xml:space="preserve">6. Synthesis and Interconnections: A Systems-Level View of Nuclear Receptor Signaling</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molecules discussed in this report, though diverse in function, share a foundational blueprint that facilitates a collective response to a myriad of biological signals. A comparative analysis reveals key differences in their operational modes. While RORα, RORγ, and COUP-TFI typically function as monomers </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PXR requires a heterodimeric partner, RXR, to bind DNA and activate transcription.</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distinction in dimerization is fundamental to their interaction with DNA and cofactors. Similarly, their activation mechanisms vary significantly; PXR's activity is classically ligand-induced, while the constitutively active RORs are modulated by a unique inverse agonist mechanism, where ligand binding actively represses their basal activity.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spectrum of regulatory mechanisms allows for a flexible and sophisticated control over gene expression.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role of coregulators, particularly Nuclear Receptor Coactivator 2 (NCOA2), serves as a unifying principle across these diverse pathways. NCOA2 is not a specialized accessory protein but rather a central hub that coactivates numerous receptors discussed in this report, including PXR and RORα.</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Its ability to interact with a vast number of partners allows a single molecule to integrate and modulate signals from multiple, seemingly disparate nuclear receptor pathways. This multi-level coordination ensures that the organism's response to internal and external cues is cohesive and highly regulated.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study of these molecules also powerfully reinforces the concept of evolutionary conservation and functional plasticity. The function of the nematode NHR-23 as an ortholog of the mammalian RORα allows for the transfer of knowledge about circadian rhythms, lipid metabolism, and immunity from a human context to a simpler, tractable model organism, thereby facilitating a deeper understanding of conserved biological networks.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Similarly, the conserved interaction between NHR-6 (NR4A homolog) and the JUN-1 transcription factor in nematode organogenesis provides in vivo validation for a regulatory mechanism that is likely conserved across metazoans.</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Collectively, these nuclear receptors function as critical nodes in complex regulatory networks that maintain organismal homeostasis. From sensing and detoxifying xenobiotics via PXR, to integrating metabolic signals through RORs, to orchestrating embryonic development and preventing disease with COUP-TFI, these molecules act as a crucial interface between the cellular genome and both the internal and external environment. Their study reveals not only the intricate molecular details of gene regulation but also the profound systems-level implications of their finely tuned activity.</w:t>
      </w:r>
    </w:p>
    <w:p w:rsidR="00000000" w:rsidDel="00000000" w:rsidP="00000000" w:rsidRDefault="00000000" w:rsidRPr="00000000" w14:paraId="000000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rfe2q7yw557" w:id="19"/>
      <w:bookmarkEnd w:id="19"/>
      <w:r w:rsidDel="00000000" w:rsidR="00000000" w:rsidRPr="00000000">
        <w:rPr>
          <w:b w:val="1"/>
          <w:color w:val="1b1c1d"/>
          <w:sz w:val="34"/>
          <w:szCs w:val="34"/>
          <w:rtl w:val="0"/>
        </w:rPr>
        <w:t xml:space="preserve">Table 1: Key Properties of Nuclear Receptor Family Members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8.5462555066078"/>
        <w:gridCol w:w="1525.6387665198238"/>
        <w:gridCol w:w="1123.612334801762"/>
        <w:gridCol w:w="1185.4625550660794"/>
        <w:gridCol w:w="1566.8722466960353"/>
        <w:gridCol w:w="1061.762114537445"/>
        <w:gridCol w:w="1608.1057268722466"/>
        <w:tblGridChange w:id="0">
          <w:tblGrid>
            <w:gridCol w:w="1288.5462555066078"/>
            <w:gridCol w:w="1525.6387665198238"/>
            <w:gridCol w:w="1123.612334801762"/>
            <w:gridCol w:w="1185.4625550660794"/>
            <w:gridCol w:w="1566.8722466960353"/>
            <w:gridCol w:w="1061.762114537445"/>
            <w:gridCol w:w="1608.1057268722466"/>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Name/Aliases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Family/Subfamily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Species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Dimerization Status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Key Biological Functions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Ligand Status/Key Ligands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Primary Interacting Molecules</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b w:val="1"/>
                <w:color w:val="1b1c1d"/>
                <w:rtl w:val="0"/>
              </w:rPr>
              <w:t xml:space="preserve">nhr-23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NR1F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i w:val="1"/>
                <w:color w:val="1b1c1d"/>
                <w:rtl w:val="0"/>
              </w:rPr>
              <w:t xml:space="preserve">C. elegans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Molting, spermatogenesis, aECM remodeling, lipid 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Orphan Receptor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MicroRNAs </w:t>
            </w:r>
            <w:r w:rsidDel="00000000" w:rsidR="00000000" w:rsidRPr="00000000">
              <w:rPr>
                <w:color w:val="575b5f"/>
                <w:shd w:fill="e9eef6" w:val="clear"/>
                <w:rtl w:val="0"/>
              </w:rPr>
              <w:t xml:space="preserve">let-7</w:t>
            </w:r>
            <w:r w:rsidDel="00000000" w:rsidR="00000000" w:rsidRPr="00000000">
              <w:rPr>
                <w:color w:val="1b1c1d"/>
                <w:rtl w:val="0"/>
              </w:rPr>
              <w:t xml:space="preserve"> and </w:t>
            </w:r>
            <w:r w:rsidDel="00000000" w:rsidR="00000000" w:rsidRPr="00000000">
              <w:rPr>
                <w:color w:val="575b5f"/>
                <w:shd w:fill="e9eef6" w:val="clear"/>
                <w:rtl w:val="0"/>
              </w:rPr>
              <w:t xml:space="preserve">lin-4</w:t>
            </w:r>
            <w:r w:rsidDel="00000000" w:rsidR="00000000" w:rsidRPr="00000000">
              <w:rPr>
                <w:color w:val="1b1c1d"/>
                <w:rtl w:val="0"/>
              </w:rPr>
              <w:t xml:space="preserve">, cuticle collagens </w:t>
            </w:r>
            <w:r w:rsidDel="00000000" w:rsidR="00000000" w:rsidRPr="00000000">
              <w:rPr>
                <w:color w:val="575b5f"/>
                <w:shd w:fill="e9eef6" w:val="clear"/>
                <w:rtl w:val="0"/>
              </w:rPr>
              <w:t xml:space="preserve">ROL-6</w:t>
            </w:r>
            <w:r w:rsidDel="00000000" w:rsidR="00000000" w:rsidRPr="00000000">
              <w:rPr>
                <w:color w:val="1b1c1d"/>
                <w:rtl w:val="0"/>
              </w:rPr>
              <w:t xml:space="preserve"> and </w:t>
            </w:r>
            <w:r w:rsidDel="00000000" w:rsidR="00000000" w:rsidRPr="00000000">
              <w:rPr>
                <w:color w:val="575b5f"/>
                <w:shd w:fill="e9eef6" w:val="clear"/>
                <w:rtl w:val="0"/>
              </w:rPr>
              <w:t xml:space="preserve">BLI-1</w:t>
            </w:r>
            <w:r w:rsidDel="00000000" w:rsidR="00000000" w:rsidRPr="00000000">
              <w:rPr>
                <w:color w:val="1b1c1d"/>
                <w:rtl w:val="0"/>
              </w:rPr>
              <w:t xml:space="preserve">, </w:t>
            </w:r>
            <w:r w:rsidDel="00000000" w:rsidR="00000000" w:rsidRPr="00000000">
              <w:rPr>
                <w:color w:val="575b5f"/>
                <w:shd w:fill="e9eef6" w:val="clear"/>
                <w:rtl w:val="0"/>
              </w:rPr>
              <w:t xml:space="preserve">NOAH-1</w:t>
            </w:r>
            <w:r w:rsidDel="00000000" w:rsidR="00000000" w:rsidRPr="00000000">
              <w:rPr>
                <w:color w:val="1b1c1d"/>
                <w:rtl w:val="0"/>
              </w:rPr>
              <w:t xml:space="preserve"> pre-cuticle factor </w:t>
            </w:r>
            <w:r w:rsidDel="00000000" w:rsidR="00000000" w:rsidRPr="00000000">
              <w:rPr>
                <w:color w:val="575b5f"/>
                <w:sz w:val="40"/>
                <w:szCs w:val="40"/>
                <w:highlight w:val="white"/>
                <w:vertAlign w:val="superscript"/>
                <w:rtl w:val="0"/>
              </w:rPr>
              <w:t xml:space="preserve">11</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b w:val="1"/>
                <w:color w:val="1b1c1d"/>
                <w:rtl w:val="0"/>
              </w:rPr>
              <w:t xml:space="preserve">nhr-6</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NR4A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i w:val="1"/>
                <w:color w:val="1b1c1d"/>
                <w:rtl w:val="0"/>
              </w:rPr>
              <w:t xml:space="preserve">C. elegans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Homodimer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Spermatheca organogenesis, cell proliferation, cell differentiation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Orphan Receptor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Transcription factor </w:t>
            </w:r>
            <w:r w:rsidDel="00000000" w:rsidR="00000000" w:rsidRPr="00000000">
              <w:rPr>
                <w:color w:val="575b5f"/>
                <w:shd w:fill="e9eef6" w:val="clear"/>
                <w:rtl w:val="0"/>
              </w:rPr>
              <w:t xml:space="preserve">JUN-1</w:t>
            </w:r>
            <w:r w:rsidDel="00000000" w:rsidR="00000000" w:rsidRPr="00000000">
              <w:rPr>
                <w:color w:val="1b1c1d"/>
                <w:rtl w:val="0"/>
              </w:rPr>
              <w:t xml:space="preserve">, Eph receptor signaling </w:t>
            </w:r>
            <w:r w:rsidDel="00000000" w:rsidR="00000000" w:rsidRPr="00000000">
              <w:rPr>
                <w:color w:val="575b5f"/>
                <w:sz w:val="40"/>
                <w:szCs w:val="40"/>
                <w:highlight w:val="white"/>
                <w:vertAlign w:val="superscript"/>
                <w:rtl w:val="0"/>
              </w:rPr>
              <w:t xml:space="preserve">16</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b w:val="1"/>
                <w:color w:val="1b1c1d"/>
                <w:rtl w:val="0"/>
              </w:rPr>
              <w:t xml:space="preserve">ROR-alpha</w:t>
            </w:r>
            <w:r w:rsidDel="00000000" w:rsidR="00000000" w:rsidRPr="00000000">
              <w:rPr>
                <w:color w:val="1b1c1d"/>
                <w:rtl w:val="0"/>
              </w:rPr>
              <w:t xml:space="preserve"> (NR1F1)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NR1F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Mammalian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Monomer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Circadian rhythm, lipid/glucose metabolism, immunity, Th17 cell differentiation </w:t>
            </w:r>
            <w:r w:rsidDel="00000000" w:rsidR="00000000" w:rsidRPr="00000000">
              <w:rPr>
                <w:color w:val="575b5f"/>
                <w:sz w:val="40"/>
                <w:szCs w:val="40"/>
                <w:highlight w:val="white"/>
                <w:vertAlign w:val="superscript"/>
                <w:rtl w:val="0"/>
              </w:rPr>
              <w:t xml:space="preserve">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Ligand-regulated (inverse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7-oxygenated sterols (</w:t>
            </w:r>
            <w:r w:rsidDel="00000000" w:rsidR="00000000" w:rsidRPr="00000000">
              <w:rPr>
                <w:color w:val="575b5f"/>
                <w:shd w:fill="e9eef6" w:val="clear"/>
                <w:rtl w:val="0"/>
              </w:rPr>
              <w:t xml:space="preserve">7$\alpha$-OHC</w:t>
            </w:r>
            <w:r w:rsidDel="00000000" w:rsidR="00000000" w:rsidRPr="00000000">
              <w:rPr>
                <w:color w:val="1b1c1d"/>
                <w:rtl w:val="0"/>
              </w:rPr>
              <w:t xml:space="preserve">), REV-ERBα, NCOA2 </w:t>
            </w:r>
            <w:r w:rsidDel="00000000" w:rsidR="00000000" w:rsidRPr="00000000">
              <w:rPr>
                <w:color w:val="575b5f"/>
                <w:sz w:val="40"/>
                <w:szCs w:val="40"/>
                <w:highlight w:val="white"/>
                <w:vertAlign w:val="superscript"/>
                <w:rtl w:val="0"/>
              </w:rPr>
              <w:t xml:space="preserve">10</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b w:val="1"/>
                <w:color w:val="1b1c1d"/>
                <w:rtl w:val="0"/>
              </w:rPr>
              <w:t xml:space="preserve">ROR-gamma</w:t>
            </w:r>
            <w:r w:rsidDel="00000000" w:rsidR="00000000" w:rsidRPr="00000000">
              <w:rPr>
                <w:color w:val="1b1c1d"/>
                <w:rtl w:val="0"/>
              </w:rPr>
              <w:t xml:space="preserve"> (NR1F3)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NR1F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Mammalian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color w:val="1b1c1d"/>
                <w:rtl w:val="0"/>
              </w:rPr>
              <w:t xml:space="preserve">Monomer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Th17 cell differentiation, lymph node organogenesis, inflammatory diseases </w:t>
            </w:r>
            <w:r w:rsidDel="00000000" w:rsidR="00000000" w:rsidRPr="00000000">
              <w:rPr>
                <w:color w:val="575b5f"/>
                <w:sz w:val="40"/>
                <w:szCs w:val="40"/>
                <w:highlight w:val="white"/>
                <w:vertAlign w:val="superscript"/>
                <w:rtl w:val="0"/>
              </w:rPr>
              <w:t xml:space="preserve">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Ligand-regulated (inverse 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7-oxygenated sterols (</w:t>
            </w:r>
            <w:r w:rsidDel="00000000" w:rsidR="00000000" w:rsidRPr="00000000">
              <w:rPr>
                <w:color w:val="575b5f"/>
                <w:shd w:fill="e9eef6" w:val="clear"/>
                <w:rtl w:val="0"/>
              </w:rPr>
              <w:t xml:space="preserve">7$\alpha$-OHC</w:t>
            </w:r>
            <w:r w:rsidDel="00000000" w:rsidR="00000000" w:rsidRPr="00000000">
              <w:rPr>
                <w:color w:val="1b1c1d"/>
                <w:rtl w:val="0"/>
              </w:rPr>
              <w:t xml:space="preserve">), ROR$\alpha$ (synergy) </w:t>
            </w:r>
            <w:r w:rsidDel="00000000" w:rsidR="00000000" w:rsidRPr="00000000">
              <w:rPr>
                <w:color w:val="575b5f"/>
                <w:sz w:val="40"/>
                <w:szCs w:val="40"/>
                <w:highlight w:val="white"/>
                <w:vertAlign w:val="superscript"/>
                <w:rtl w:val="0"/>
              </w:rPr>
              <w:t xml:space="preserve">19</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b w:val="1"/>
                <w:color w:val="1b1c1d"/>
                <w:rtl w:val="0"/>
              </w:rPr>
              <w:t xml:space="preserve">Nuclear receptor coactivator 2</w:t>
            </w:r>
            <w:r w:rsidDel="00000000" w:rsidR="00000000" w:rsidRPr="00000000">
              <w:rPr>
                <w:color w:val="1b1c1d"/>
                <w:rtl w:val="0"/>
              </w:rPr>
              <w:t xml:space="preserve"> (NCOA2, SRC2, TIF2, GRIP1)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color w:val="1b1c1d"/>
                <w:rtl w:val="0"/>
              </w:rPr>
              <w:t xml:space="preserve">p160 SRC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Mammalian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Transcriptional coactivation, metabolic homeostasis, cell growth/cancer </w:t>
            </w:r>
            <w:r w:rsidDel="00000000" w:rsidR="00000000" w:rsidRPr="00000000">
              <w:rPr>
                <w:color w:val="575b5f"/>
                <w:sz w:val="40"/>
                <w:szCs w:val="40"/>
                <w:highlight w:val="white"/>
                <w:vertAlign w:val="superscript"/>
                <w:rtl w:val="0"/>
              </w:rPr>
              <w:t xml:space="preserve">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Multiple NRs (AR, ER, GR, PR, TR, VDR, RXR), ROR$\alpha$, PXR, histone acetyltransferases (CBP, p300) </w:t>
            </w:r>
            <w:r w:rsidDel="00000000" w:rsidR="00000000" w:rsidRPr="00000000">
              <w:rPr>
                <w:color w:val="575b5f"/>
                <w:sz w:val="40"/>
                <w:szCs w:val="40"/>
                <w:highlight w:val="white"/>
                <w:vertAlign w:val="superscript"/>
                <w:rtl w:val="0"/>
              </w:rPr>
              <w:t xml:space="preserve">9</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b w:val="1"/>
                <w:color w:val="1b1c1d"/>
                <w:rtl w:val="0"/>
              </w:rPr>
              <w:t xml:space="preserve">Nuclear receptor subfamily 1 group I member 2</w:t>
            </w:r>
            <w:r w:rsidDel="00000000" w:rsidR="00000000" w:rsidRPr="00000000">
              <w:rPr>
                <w:color w:val="1b1c1d"/>
                <w:rtl w:val="0"/>
              </w:rPr>
              <w:t xml:space="preserve"> (PXR, NR1I2)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NR1I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Mammalian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Heterodimer with RXR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Xenobiotic/drug metabolism, cholesterol/bile acid homeostasis </w:t>
            </w:r>
            <w:r w:rsidDel="00000000" w:rsidR="00000000" w:rsidRPr="00000000">
              <w:rPr>
                <w:color w:val="575b5f"/>
                <w:sz w:val="40"/>
                <w:szCs w:val="40"/>
                <w:highlight w:val="white"/>
                <w:vertAlign w:val="superscript"/>
                <w:rtl w:val="0"/>
              </w:rPr>
              <w:t xml:space="preserve">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Ligand-activated (agonists)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Endogenous steroids, antibiotics (Rifampicin), antidepressants, herbal products (St. John's wort), CYP3A4, NCOA2 </w:t>
            </w:r>
            <w:r w:rsidDel="00000000" w:rsidR="00000000" w:rsidRPr="00000000">
              <w:rPr>
                <w:color w:val="575b5f"/>
                <w:sz w:val="40"/>
                <w:szCs w:val="40"/>
                <w:highlight w:val="white"/>
                <w:vertAlign w:val="superscript"/>
                <w:rtl w:val="0"/>
              </w:rPr>
              <w:t xml:space="preserve">6</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b w:val="1"/>
                <w:color w:val="1b1c1d"/>
                <w:rtl w:val="0"/>
              </w:rPr>
              <w:t xml:space="preserve">Nuclear receptor subfamily 2 group F member 1-A</w:t>
            </w:r>
            <w:r w:rsidDel="00000000" w:rsidR="00000000" w:rsidRPr="00000000">
              <w:rPr>
                <w:color w:val="1b1c1d"/>
                <w:rtl w:val="0"/>
              </w:rPr>
              <w:t xml:space="preserve"> (COUP-TFI, NR2F1)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NR2F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Mammalian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color w:val="1b1c1d"/>
                <w:rtl w:val="0"/>
              </w:rPr>
              <w:t xml:space="preserve">Monomer (prefers homodimer)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CNS development, neurogenesis, organogenesis, axon guidance </w:t>
            </w:r>
            <w:r w:rsidDel="00000000" w:rsidR="00000000" w:rsidRPr="00000000">
              <w:rPr>
                <w:color w:val="575b5f"/>
                <w:sz w:val="40"/>
                <w:szCs w:val="40"/>
                <w:highlight w:val="white"/>
                <w:vertAlign w:val="superscript"/>
                <w:rtl w:val="0"/>
              </w:rPr>
              <w:t xml:space="preserve">40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Orphan Receptor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VDR, TR, RAR (via competition or RXR sequestration), Sp1, BCL11A, BCL11B </w:t>
            </w:r>
            <w:r w:rsidDel="00000000" w:rsidR="00000000" w:rsidRPr="00000000">
              <w:rPr>
                <w:color w:val="575b5f"/>
                <w:sz w:val="40"/>
                <w:szCs w:val="40"/>
                <w:highlight w:val="white"/>
                <w:vertAlign w:val="superscript"/>
                <w:rtl w:val="0"/>
              </w:rPr>
              <w:t xml:space="preserve">43</w:t>
            </w:r>
          </w:p>
        </w:tc>
      </w:tr>
    </w:tbl>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